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44019B0A" w:rsidR="00E808DE" w:rsidRPr="00E808DE" w:rsidRDefault="00A62133" w:rsidP="00C264FA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 xml:space="preserve">Steckbrief: </w:t>
            </w:r>
            <w:r w:rsidR="00DE7C3C">
              <w:rPr>
                <w:rFonts w:ascii="Arial" w:hAnsi="Arial" w:cs="Arial"/>
                <w:b/>
                <w:color w:val="0B416C"/>
                <w:sz w:val="24"/>
              </w:rPr>
              <w:t>Aktivierende Befragung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77777777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Ziel:</w:t>
            </w:r>
          </w:p>
          <w:p w14:paraId="1B90BFFA" w14:textId="77777777" w:rsidR="00DE7C3C" w:rsidRDefault="00DE7C3C" w:rsidP="00A6213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proofErr w:type="spellStart"/>
            <w:r>
              <w:rPr>
                <w:rFonts w:ascii="Arial" w:hAnsi="Arial" w:cs="Arial"/>
                <w:color w:val="0B416C"/>
              </w:rPr>
              <w:t>Bürger:</w:t>
            </w:r>
            <w:r w:rsidRPr="00DE7C3C">
              <w:rPr>
                <w:rFonts w:ascii="Arial" w:hAnsi="Arial" w:cs="Arial"/>
                <w:color w:val="0B416C"/>
              </w:rPr>
              <w:t>innen</w:t>
            </w:r>
            <w:proofErr w:type="spellEnd"/>
            <w:r w:rsidRPr="00DE7C3C">
              <w:rPr>
                <w:rFonts w:ascii="Arial" w:hAnsi="Arial" w:cs="Arial"/>
                <w:color w:val="0B416C"/>
              </w:rPr>
              <w:t xml:space="preserve"> eines Wohngebiets oder Stadtteils sollen dazu angeregt und ermutigt werden, aktiv für ihre Interessen einzutreten und bei der Lösung von Probl</w:t>
            </w:r>
            <w:r>
              <w:rPr>
                <w:rFonts w:ascii="Arial" w:hAnsi="Arial" w:cs="Arial"/>
                <w:color w:val="0B416C"/>
              </w:rPr>
              <w:t xml:space="preserve">emen im Gemeinwesen </w:t>
            </w:r>
            <w:proofErr w:type="spellStart"/>
            <w:r>
              <w:rPr>
                <w:rFonts w:ascii="Arial" w:hAnsi="Arial" w:cs="Arial"/>
                <w:color w:val="0B416C"/>
              </w:rPr>
              <w:t>mitzuwirken</w:t>
            </w:r>
          </w:p>
          <w:p w14:paraId="09FC189E" w14:textId="663BB4B7" w:rsidR="00A62133" w:rsidRPr="00A62133" w:rsidRDefault="00DE7C3C" w:rsidP="00A6213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proofErr w:type="spellEnd"/>
            <w:r w:rsidRPr="00DE7C3C">
              <w:rPr>
                <w:rFonts w:ascii="Arial" w:hAnsi="Arial" w:cs="Arial"/>
                <w:color w:val="0B416C"/>
              </w:rPr>
              <w:t>Zielt darauf ab, praktische Veränderungen in einem sozialen Feld gemeinsam mit den dort lebenden Menschen zu erreichen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607D64E9" w:rsidR="008561F4" w:rsidRPr="008561F4" w:rsidRDefault="008561F4" w:rsidP="008E7864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8E7864">
              <w:rPr>
                <w:rFonts w:ascii="Arial" w:hAnsi="Arial" w:cs="Arial"/>
                <w:bCs/>
                <w:color w:val="0B416C"/>
              </w:rPr>
              <w:t>sowohl für Kleingruppen als auch für größere Gruppen geeignet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650356CD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8E7864">
              <w:rPr>
                <w:rFonts w:ascii="Arial" w:hAnsi="Arial" w:cs="Arial"/>
                <w:bCs/>
                <w:color w:val="0B416C"/>
              </w:rPr>
              <w:t>einige Tage bis mehrere Monate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628D31B0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8E7864">
              <w:rPr>
                <w:rFonts w:ascii="Arial" w:hAnsi="Arial" w:cs="Arial"/>
                <w:bCs/>
                <w:color w:val="0B416C"/>
              </w:rPr>
              <w:t>zu Beginn eines Prozesses, Problemdefinition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0BF50679" w:rsidR="008561F4" w:rsidRPr="008561F4" w:rsidRDefault="008E7864" w:rsidP="008E7864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I</w:t>
            </w:r>
            <w:r w:rsidRPr="008E7864">
              <w:rPr>
                <w:rFonts w:ascii="Arial" w:hAnsi="Arial" w:cs="Arial"/>
                <w:bCs/>
                <w:color w:val="0B416C"/>
              </w:rPr>
              <w:t>n einer Aktivi</w:t>
            </w:r>
            <w:r>
              <w:rPr>
                <w:rFonts w:ascii="Arial" w:hAnsi="Arial" w:cs="Arial"/>
                <w:bCs/>
                <w:color w:val="0B416C"/>
              </w:rPr>
              <w:t xml:space="preserve">erenden Befragung werden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Bürger:</w:t>
            </w:r>
            <w:r w:rsidRPr="008E7864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proofErr w:type="gramEnd"/>
            <w:r w:rsidRPr="008E7864">
              <w:rPr>
                <w:rFonts w:ascii="Arial" w:hAnsi="Arial" w:cs="Arial"/>
                <w:bCs/>
                <w:color w:val="0B416C"/>
              </w:rPr>
              <w:t xml:space="preserve"> nach ihren</w:t>
            </w:r>
            <w:r>
              <w:rPr>
                <w:rFonts w:ascii="Arial" w:hAnsi="Arial" w:cs="Arial"/>
                <w:bCs/>
                <w:color w:val="0B416C"/>
              </w:rPr>
              <w:t xml:space="preserve"> Meinungen und Einstellungen ge</w:t>
            </w:r>
            <w:r w:rsidRPr="008E7864">
              <w:rPr>
                <w:rFonts w:ascii="Arial" w:hAnsi="Arial" w:cs="Arial"/>
                <w:bCs/>
                <w:color w:val="0B416C"/>
              </w:rPr>
              <w:t>fragt und gleichzeitig dazu angeregt und ermutigt, für ihre Interessen einzutreten und Lösungen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8E7864">
              <w:rPr>
                <w:rFonts w:ascii="Arial" w:hAnsi="Arial" w:cs="Arial"/>
                <w:bCs/>
                <w:color w:val="0B416C"/>
              </w:rPr>
              <w:t>zu entwickeln. Aktivierende Befragung</w:t>
            </w:r>
            <w:r>
              <w:rPr>
                <w:rFonts w:ascii="Arial" w:hAnsi="Arial" w:cs="Arial"/>
                <w:bCs/>
                <w:color w:val="0B416C"/>
              </w:rPr>
              <w:t xml:space="preserve">en erzeugen ein kommunikatives </w:t>
            </w:r>
            <w:r w:rsidRPr="008E7864">
              <w:rPr>
                <w:rFonts w:ascii="Arial" w:hAnsi="Arial" w:cs="Arial"/>
                <w:bCs/>
                <w:color w:val="0B416C"/>
              </w:rPr>
              <w:t>Handeln und unterscheiden sich damit von anderen Umfrageformen,</w:t>
            </w:r>
            <w:r>
              <w:rPr>
                <w:rFonts w:ascii="Arial" w:hAnsi="Arial" w:cs="Arial"/>
                <w:bCs/>
                <w:color w:val="0B416C"/>
              </w:rPr>
              <w:t xml:space="preserve"> die ausschließlich der Datener</w:t>
            </w:r>
            <w:r w:rsidRPr="008E7864">
              <w:rPr>
                <w:rFonts w:ascii="Arial" w:hAnsi="Arial" w:cs="Arial"/>
                <w:bCs/>
                <w:color w:val="0B416C"/>
              </w:rPr>
              <w:t>hebung dienen. Durch offene Fragestellungen werden die Betroffene</w:t>
            </w:r>
            <w:r>
              <w:rPr>
                <w:rFonts w:ascii="Arial" w:hAnsi="Arial" w:cs="Arial"/>
                <w:bCs/>
                <w:color w:val="0B416C"/>
              </w:rPr>
              <w:t>n angeregt, sich über ihre sozi</w:t>
            </w:r>
            <w:r w:rsidRPr="008E7864">
              <w:rPr>
                <w:rFonts w:ascii="Arial" w:hAnsi="Arial" w:cs="Arial"/>
                <w:bCs/>
                <w:color w:val="0B416C"/>
              </w:rPr>
              <w:t>ale Wirklichkeit Gedanken zu machen und z</w:t>
            </w:r>
            <w:r>
              <w:rPr>
                <w:rFonts w:ascii="Arial" w:hAnsi="Arial" w:cs="Arial"/>
                <w:bCs/>
                <w:color w:val="0B416C"/>
              </w:rPr>
              <w:t xml:space="preserve">usammen mit den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Aktionsforscher:innen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nach möglichen </w:t>
            </w:r>
            <w:r w:rsidRPr="008E7864">
              <w:rPr>
                <w:rFonts w:ascii="Arial" w:hAnsi="Arial" w:cs="Arial"/>
                <w:bCs/>
                <w:color w:val="0B416C"/>
              </w:rPr>
              <w:t>Lösungen zur Verbess</w:t>
            </w:r>
            <w:r>
              <w:rPr>
                <w:rFonts w:ascii="Arial" w:hAnsi="Arial" w:cs="Arial"/>
                <w:bCs/>
                <w:color w:val="0B416C"/>
              </w:rPr>
              <w:t>erung der Situation zu suchen.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5A4C9AC1" w:rsidR="008561F4" w:rsidRPr="008561F4" w:rsidRDefault="008E7864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Formulierung des Vorhabens: Warum soll dieses Gebiet oder dieses Thema untersucht werden? Wer ist der Auftraggeber?</w:t>
            </w:r>
          </w:p>
          <w:p w14:paraId="28147EE5" w14:textId="26D62F97" w:rsidR="008561F4" w:rsidRDefault="008E786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Voruntersuchung, Analyse und Auswertung: Gespräche mit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Bewohner:innen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und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Expert:innen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vor Ort, Durchführung von Beobachtungen</w:t>
            </w:r>
          </w:p>
          <w:p w14:paraId="77FAF97D" w14:textId="43882528" w:rsidR="00A62133" w:rsidRDefault="008E786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Bewertung und Entscheidung, Konsequenzen der Auswertung: Festlegung von Kriterien für die Befragung, Abbruch oder Weiterarbeit?</w:t>
            </w:r>
          </w:p>
          <w:p w14:paraId="3E2EADF2" w14:textId="77777777" w:rsidR="008E7864" w:rsidRDefault="008E786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Training und Vorbereitung der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Befrager:innen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: Entwicklung eines Gesprächsleitfadens, Auswahl der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Gesprächspartner:innen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, Haltung der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Befrager:innen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etc.</w:t>
            </w:r>
          </w:p>
          <w:p w14:paraId="57D14757" w14:textId="77777777" w:rsidR="008E7864" w:rsidRDefault="008E786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Hauptuntersuchung</w:t>
            </w:r>
          </w:p>
          <w:p w14:paraId="306324F9" w14:textId="77777777" w:rsidR="008E7864" w:rsidRDefault="008E786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Auswertung der Befragung: Festlegung der Auswertungskriterien, Dokumentation der Ergebnisse</w:t>
            </w:r>
          </w:p>
          <w:p w14:paraId="2CA11536" w14:textId="77777777" w:rsidR="008E7864" w:rsidRDefault="008E786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Versammlung der Interessierten und Bildung von Aktionsgruppen: Ergebnisvorstellung, Klärung der Weiterarbeit</w:t>
            </w:r>
          </w:p>
          <w:p w14:paraId="127AFA82" w14:textId="51C4AB70" w:rsidR="008E7864" w:rsidRPr="003D3795" w:rsidRDefault="008E7864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Beratung und Begleitung der entstandenen Aktionsgruppen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3AA670B4" w14:textId="2F15B6F8" w:rsidR="008561F4" w:rsidRPr="00AA1A63" w:rsidRDefault="00A62133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Zeit</w:t>
            </w:r>
            <w:r w:rsidR="008561F4"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8E7864">
              <w:rPr>
                <w:rFonts w:ascii="Arial" w:hAnsi="Arial" w:cs="Arial"/>
                <w:bCs/>
                <w:color w:val="0B416C"/>
              </w:rPr>
              <w:t>pro Befragung ca. eine Stunde</w:t>
            </w:r>
          </w:p>
          <w:p w14:paraId="1E3E8182" w14:textId="3D8121FB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8E7864">
              <w:rPr>
                <w:rFonts w:ascii="Arial" w:hAnsi="Arial" w:cs="Arial"/>
                <w:bCs/>
                <w:color w:val="0B416C"/>
              </w:rPr>
              <w:t>Personal für Befragungen und Auswertung</w:t>
            </w:r>
          </w:p>
          <w:p w14:paraId="6FB321B6" w14:textId="715BDAEB" w:rsidR="008561F4" w:rsidRPr="00AA1A63" w:rsidRDefault="008561F4" w:rsidP="00C264FA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r w:rsidR="008E7864">
              <w:rPr>
                <w:rFonts w:ascii="Arial" w:hAnsi="Arial" w:cs="Arial"/>
                <w:bCs/>
                <w:color w:val="0B416C"/>
              </w:rPr>
              <w:t>Sichtweisen der Betroffenen erforschen und diese gleichzeitig zur Mitarbeit und Initiative aktivieren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379C878B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8E7864">
              <w:rPr>
                <w:rFonts w:ascii="Arial" w:hAnsi="Arial" w:cs="Arial"/>
                <w:bCs/>
                <w:color w:val="0B416C"/>
              </w:rPr>
              <w:t>pro Befragung ca. eine Stunde</w:t>
            </w:r>
          </w:p>
          <w:p w14:paraId="11B65AF6" w14:textId="118A5E2E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8E7864">
              <w:rPr>
                <w:rFonts w:ascii="Arial" w:hAnsi="Arial" w:cs="Arial"/>
                <w:bCs/>
                <w:color w:val="0B416C"/>
              </w:rPr>
              <w:t>Wenn Gemeinsamkeiten in den Interessen entdeckt werden, können auch weitere gemeinsame Handlungsschritte (Arbeitsgruppen, Aktionen etc.) verabredet werden</w:t>
            </w:r>
          </w:p>
          <w:p w14:paraId="748D07E7" w14:textId="79DB3EEB" w:rsidR="00AA1A63" w:rsidRPr="00AA1A63" w:rsidRDefault="00AA1A63" w:rsidP="00C264FA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lastRenderedPageBreak/>
              <w:t xml:space="preserve">Barrieren: </w:t>
            </w:r>
            <w:r w:rsidR="008E7864">
              <w:rPr>
                <w:rFonts w:ascii="Arial" w:hAnsi="Arial" w:cs="Arial"/>
                <w:bCs/>
                <w:color w:val="0B416C"/>
              </w:rPr>
              <w:t>Selbstorganisation nach der Versammlung der Interessierten, um weiter effektiv an selbst gestellten Aufgaben arbeiten zu können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Material:</w:t>
            </w:r>
          </w:p>
          <w:p w14:paraId="14061613" w14:textId="415CCF64" w:rsidR="00AA1A63" w:rsidRPr="00AA1A63" w:rsidRDefault="008E7864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Tonbandgerät, Interviewleitfaden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681E3E9E" w:rsidR="00AA1A63" w:rsidRPr="00C54E9D" w:rsidRDefault="008E7864" w:rsidP="008E7864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E7864">
              <w:rPr>
                <w:rFonts w:ascii="Arial" w:hAnsi="Arial" w:cs="Arial"/>
                <w:bCs/>
                <w:color w:val="0B416C"/>
              </w:rPr>
              <w:t>Eine Aktivierende Befragung ist in keiner Weise mit einer repräsentative</w:t>
            </w:r>
            <w:r>
              <w:rPr>
                <w:rFonts w:ascii="Arial" w:hAnsi="Arial" w:cs="Arial"/>
                <w:bCs/>
                <w:color w:val="0B416C"/>
              </w:rPr>
              <w:t xml:space="preserve">n, statistischen Befragung zu </w:t>
            </w:r>
            <w:r w:rsidRPr="008E7864">
              <w:rPr>
                <w:rFonts w:ascii="Arial" w:hAnsi="Arial" w:cs="Arial"/>
                <w:bCs/>
                <w:color w:val="0B416C"/>
              </w:rPr>
              <w:t xml:space="preserve">verwechseln. Sie ist auch kein </w:t>
            </w:r>
            <w:r>
              <w:rPr>
                <w:rFonts w:ascii="Arial" w:hAnsi="Arial" w:cs="Arial"/>
                <w:bCs/>
                <w:color w:val="0B416C"/>
              </w:rPr>
              <w:t>Patentrezept für jedes Quartier,</w:t>
            </w:r>
            <w:r w:rsidRPr="008E7864">
              <w:rPr>
                <w:rFonts w:ascii="Arial" w:hAnsi="Arial" w:cs="Arial"/>
                <w:bCs/>
                <w:color w:val="0B416C"/>
              </w:rPr>
              <w:t xml:space="preserve"> sonde</w:t>
            </w:r>
            <w:r>
              <w:rPr>
                <w:rFonts w:ascii="Arial" w:hAnsi="Arial" w:cs="Arial"/>
                <w:bCs/>
                <w:color w:val="0B416C"/>
              </w:rPr>
              <w:t>rn der Einsatz sollte gut vorbe</w:t>
            </w:r>
            <w:r w:rsidRPr="008E7864">
              <w:rPr>
                <w:rFonts w:ascii="Arial" w:hAnsi="Arial" w:cs="Arial"/>
                <w:bCs/>
                <w:color w:val="0B416C"/>
              </w:rPr>
              <w:t>reitet, das Quartier bewusst gewählt und mit den längerfristigen K</w:t>
            </w:r>
            <w:r w:rsidR="00A816B5">
              <w:rPr>
                <w:rFonts w:ascii="Arial" w:hAnsi="Arial" w:cs="Arial"/>
                <w:bCs/>
                <w:color w:val="0B416C"/>
              </w:rPr>
              <w:t xml:space="preserve">onsequenzen vorbedacht werden. </w:t>
            </w:r>
            <w:r w:rsidRPr="008E7864">
              <w:rPr>
                <w:rFonts w:ascii="Arial" w:hAnsi="Arial" w:cs="Arial"/>
                <w:bCs/>
                <w:color w:val="0B416C"/>
              </w:rPr>
              <w:t>Der Aufwand für die Aktivierende Befragung lohnt sich nur dort, wenn</w:t>
            </w:r>
            <w:r w:rsidR="00A816B5">
              <w:rPr>
                <w:rFonts w:ascii="Arial" w:hAnsi="Arial" w:cs="Arial"/>
                <w:bCs/>
                <w:color w:val="0B416C"/>
              </w:rPr>
              <w:t xml:space="preserve"> nachher auch Interesse an und </w:t>
            </w:r>
            <w:r w:rsidRPr="008E7864">
              <w:rPr>
                <w:rFonts w:ascii="Arial" w:hAnsi="Arial" w:cs="Arial"/>
                <w:bCs/>
                <w:color w:val="0B416C"/>
              </w:rPr>
              <w:t>Freiraum für selbst organisierte neue Aktivitäten besteht und gleichze</w:t>
            </w:r>
            <w:r w:rsidR="00A816B5">
              <w:rPr>
                <w:rFonts w:ascii="Arial" w:hAnsi="Arial" w:cs="Arial"/>
                <w:bCs/>
                <w:color w:val="0B416C"/>
              </w:rPr>
              <w:t xml:space="preserve">itig personelle Kapazitäten da </w:t>
            </w:r>
            <w:r w:rsidRPr="008E7864">
              <w:rPr>
                <w:rFonts w:ascii="Arial" w:hAnsi="Arial" w:cs="Arial"/>
                <w:bCs/>
                <w:color w:val="0B416C"/>
              </w:rPr>
              <w:t>sind, diese neu entstehenden Aktivitäten und Strukturen bei Bedarf zu begleiten.</w:t>
            </w:r>
            <w:r w:rsidR="00A816B5">
              <w:rPr>
                <w:rFonts w:ascii="Arial" w:hAnsi="Arial" w:cs="Arial"/>
                <w:bCs/>
                <w:color w:val="0B416C"/>
              </w:rPr>
              <w:t xml:space="preserve"> Je nach Auftrag </w:t>
            </w:r>
            <w:r w:rsidRPr="008E7864">
              <w:rPr>
                <w:rFonts w:ascii="Arial" w:hAnsi="Arial" w:cs="Arial"/>
                <w:bCs/>
                <w:color w:val="0B416C"/>
              </w:rPr>
              <w:t>bzw. Selbstverständnis der professionell Tätigen gibt es eine Vielfal</w:t>
            </w:r>
            <w:r w:rsidR="00A816B5">
              <w:rPr>
                <w:rFonts w:ascii="Arial" w:hAnsi="Arial" w:cs="Arial"/>
                <w:bCs/>
                <w:color w:val="0B416C"/>
              </w:rPr>
              <w:t xml:space="preserve">t von Variationsmöglichkeiten. </w:t>
            </w:r>
            <w:r w:rsidRPr="008E7864">
              <w:rPr>
                <w:rFonts w:ascii="Arial" w:hAnsi="Arial" w:cs="Arial"/>
                <w:bCs/>
                <w:color w:val="0B416C"/>
              </w:rPr>
              <w:t>Eine Aktivierende Befragung kann dann sinnvoll sein, wenn ein Veränderungsbedarf o.</w:t>
            </w:r>
            <w:r w:rsidR="00A816B5">
              <w:rPr>
                <w:rFonts w:ascii="Arial" w:hAnsi="Arial" w:cs="Arial"/>
                <w:bCs/>
                <w:color w:val="0B416C"/>
              </w:rPr>
              <w:t xml:space="preserve"> ä. vorliegt. </w:t>
            </w:r>
            <w:r w:rsidRPr="008E7864">
              <w:rPr>
                <w:rFonts w:ascii="Arial" w:hAnsi="Arial" w:cs="Arial"/>
                <w:bCs/>
                <w:color w:val="0B416C"/>
              </w:rPr>
              <w:t xml:space="preserve">Zudem müssen personelle und finanzielle </w:t>
            </w:r>
            <w:r w:rsidR="00A816B5">
              <w:rPr>
                <w:rFonts w:ascii="Arial" w:hAnsi="Arial" w:cs="Arial"/>
                <w:bCs/>
                <w:color w:val="0B416C"/>
              </w:rPr>
              <w:t xml:space="preserve">Ressourcen </w:t>
            </w:r>
            <w:r w:rsidRPr="008E7864">
              <w:rPr>
                <w:rFonts w:ascii="Arial" w:hAnsi="Arial" w:cs="Arial"/>
                <w:bCs/>
                <w:color w:val="0B416C"/>
              </w:rPr>
              <w:t>sowie die professionelle Kompetenz gegeben sein.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60AF4BB8" w14:textId="462B5143" w:rsidR="00A816B5" w:rsidRPr="00A816B5" w:rsidRDefault="00A816B5" w:rsidP="00A816B5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816B5">
              <w:rPr>
                <w:rFonts w:ascii="Arial" w:hAnsi="Arial" w:cs="Arial"/>
                <w:bCs/>
                <w:color w:val="0B416C"/>
              </w:rPr>
              <w:t>Hinte</w:t>
            </w:r>
            <w:proofErr w:type="spellEnd"/>
            <w:r w:rsidRPr="00A816B5">
              <w:rPr>
                <w:rFonts w:ascii="Arial" w:hAnsi="Arial" w:cs="Arial"/>
                <w:bCs/>
                <w:color w:val="0B416C"/>
              </w:rPr>
              <w:t xml:space="preserve"> W, Karas F. Studienbuch Gruppen- und Gemeinwesen</w:t>
            </w:r>
            <w:r>
              <w:rPr>
                <w:rFonts w:ascii="Arial" w:hAnsi="Arial" w:cs="Arial"/>
                <w:bCs/>
                <w:color w:val="0B416C"/>
              </w:rPr>
              <w:t>arbeit: Eine Einführung für Aus</w:t>
            </w:r>
            <w:r w:rsidRPr="00A816B5">
              <w:rPr>
                <w:rFonts w:ascii="Arial" w:hAnsi="Arial" w:cs="Arial"/>
                <w:bCs/>
                <w:color w:val="0B416C"/>
              </w:rPr>
              <w:t xml:space="preserve">bildung und Praxis. Frankfurt: Hermann </w:t>
            </w:r>
            <w:proofErr w:type="spellStart"/>
            <w:r w:rsidRPr="00A816B5">
              <w:rPr>
                <w:rFonts w:ascii="Arial" w:hAnsi="Arial" w:cs="Arial"/>
                <w:bCs/>
                <w:color w:val="0B416C"/>
              </w:rPr>
              <w:t>Luchterhand</w:t>
            </w:r>
            <w:proofErr w:type="spellEnd"/>
            <w:r w:rsidRPr="00A816B5">
              <w:rPr>
                <w:rFonts w:ascii="Arial" w:hAnsi="Arial" w:cs="Arial"/>
                <w:bCs/>
                <w:color w:val="0B416C"/>
              </w:rPr>
              <w:t xml:space="preserve"> Verlag; 1989. </w:t>
            </w:r>
          </w:p>
          <w:p w14:paraId="0177FC3D" w14:textId="18A8F101" w:rsidR="00AA1A63" w:rsidRPr="00A816B5" w:rsidRDefault="00A816B5" w:rsidP="00A816B5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816B5">
              <w:rPr>
                <w:rFonts w:ascii="Arial" w:hAnsi="Arial" w:cs="Arial"/>
                <w:bCs/>
                <w:color w:val="0B416C"/>
              </w:rPr>
              <w:t>Lüttringhaus</w:t>
            </w:r>
            <w:proofErr w:type="spellEnd"/>
            <w:r w:rsidRPr="00A816B5">
              <w:rPr>
                <w:rFonts w:ascii="Arial" w:hAnsi="Arial" w:cs="Arial"/>
                <w:bCs/>
                <w:color w:val="0B416C"/>
              </w:rPr>
              <w:t xml:space="preserve"> M, </w:t>
            </w:r>
            <w:proofErr w:type="spellStart"/>
            <w:r w:rsidRPr="00A816B5">
              <w:rPr>
                <w:rFonts w:ascii="Arial" w:hAnsi="Arial" w:cs="Arial"/>
                <w:bCs/>
                <w:color w:val="0B416C"/>
              </w:rPr>
              <w:t>Richers</w:t>
            </w:r>
            <w:proofErr w:type="spellEnd"/>
            <w:r w:rsidRPr="00A816B5">
              <w:rPr>
                <w:rFonts w:ascii="Arial" w:hAnsi="Arial" w:cs="Arial"/>
                <w:bCs/>
                <w:color w:val="0B416C"/>
              </w:rPr>
              <w:t xml:space="preserve"> H. Handbuch Aktivierende Befragung: Konzepte, Erfahrungen, Tipps für die Praxis. Bonn: Stiftung Mitarbeit; 2003.</w:t>
            </w:r>
            <w:bookmarkStart w:id="0" w:name="_GoBack"/>
            <w:bookmarkEnd w:id="0"/>
          </w:p>
        </w:tc>
      </w:tr>
    </w:tbl>
    <w:p w14:paraId="2818F191" w14:textId="002F2D2B" w:rsidR="00090D8B" w:rsidRPr="00AA1A63" w:rsidRDefault="00FA5877" w:rsidP="00E05463">
      <w:pPr>
        <w:rPr>
          <w:rFonts w:ascii="Arial" w:hAnsi="Arial" w:cs="Arial"/>
        </w:rPr>
      </w:pPr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AC5A" w14:textId="77777777" w:rsidR="00FA5877" w:rsidRDefault="00FA5877" w:rsidP="007438DB">
      <w:pPr>
        <w:spacing w:after="0" w:line="240" w:lineRule="auto"/>
      </w:pPr>
      <w:r>
        <w:separator/>
      </w:r>
    </w:p>
  </w:endnote>
  <w:endnote w:type="continuationSeparator" w:id="0">
    <w:p w14:paraId="52753AE8" w14:textId="77777777" w:rsidR="00FA5877" w:rsidRDefault="00FA5877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FDF0" w14:textId="77777777" w:rsidR="00FA5877" w:rsidRDefault="00FA5877" w:rsidP="007438DB">
      <w:pPr>
        <w:spacing w:after="0" w:line="240" w:lineRule="auto"/>
      </w:pPr>
      <w:r>
        <w:separator/>
      </w:r>
    </w:p>
  </w:footnote>
  <w:footnote w:type="continuationSeparator" w:id="0">
    <w:p w14:paraId="2C26F4D1" w14:textId="77777777" w:rsidR="00FA5877" w:rsidRDefault="00FA5877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7"/>
  </w:num>
  <w:num w:numId="5">
    <w:abstractNumId w:val="26"/>
  </w:num>
  <w:num w:numId="6">
    <w:abstractNumId w:val="21"/>
  </w:num>
  <w:num w:numId="7">
    <w:abstractNumId w:val="18"/>
  </w:num>
  <w:num w:numId="8">
    <w:abstractNumId w:val="5"/>
  </w:num>
  <w:num w:numId="9">
    <w:abstractNumId w:val="31"/>
  </w:num>
  <w:num w:numId="10">
    <w:abstractNumId w:val="4"/>
  </w:num>
  <w:num w:numId="11">
    <w:abstractNumId w:val="14"/>
  </w:num>
  <w:num w:numId="12">
    <w:abstractNumId w:val="7"/>
  </w:num>
  <w:num w:numId="13">
    <w:abstractNumId w:val="28"/>
  </w:num>
  <w:num w:numId="14">
    <w:abstractNumId w:val="24"/>
  </w:num>
  <w:num w:numId="15">
    <w:abstractNumId w:val="9"/>
  </w:num>
  <w:num w:numId="16">
    <w:abstractNumId w:val="32"/>
  </w:num>
  <w:num w:numId="17">
    <w:abstractNumId w:val="29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0"/>
  </w:num>
  <w:num w:numId="25">
    <w:abstractNumId w:val="8"/>
  </w:num>
  <w:num w:numId="26">
    <w:abstractNumId w:val="2"/>
  </w:num>
  <w:num w:numId="27">
    <w:abstractNumId w:val="17"/>
  </w:num>
  <w:num w:numId="28">
    <w:abstractNumId w:val="23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90748"/>
    <w:rsid w:val="000A4488"/>
    <w:rsid w:val="000D6185"/>
    <w:rsid w:val="000D6601"/>
    <w:rsid w:val="001176DE"/>
    <w:rsid w:val="0012004D"/>
    <w:rsid w:val="001473FF"/>
    <w:rsid w:val="00197AF2"/>
    <w:rsid w:val="001A43CA"/>
    <w:rsid w:val="001C6416"/>
    <w:rsid w:val="00201D57"/>
    <w:rsid w:val="002328D7"/>
    <w:rsid w:val="0024288B"/>
    <w:rsid w:val="00291E1E"/>
    <w:rsid w:val="002D5A16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B4E29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3CD6"/>
    <w:rsid w:val="00847DA7"/>
    <w:rsid w:val="008561F4"/>
    <w:rsid w:val="0086064D"/>
    <w:rsid w:val="00890D72"/>
    <w:rsid w:val="008E7864"/>
    <w:rsid w:val="00905A43"/>
    <w:rsid w:val="009C15BE"/>
    <w:rsid w:val="009E4C48"/>
    <w:rsid w:val="00A62133"/>
    <w:rsid w:val="00A816B5"/>
    <w:rsid w:val="00AA1A63"/>
    <w:rsid w:val="00AD119B"/>
    <w:rsid w:val="00B07D1A"/>
    <w:rsid w:val="00B369C7"/>
    <w:rsid w:val="00C264FA"/>
    <w:rsid w:val="00C40CE6"/>
    <w:rsid w:val="00C54E9D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E7C3C"/>
    <w:rsid w:val="00DF25D9"/>
    <w:rsid w:val="00E05463"/>
    <w:rsid w:val="00E14346"/>
    <w:rsid w:val="00E45FC5"/>
    <w:rsid w:val="00E808DE"/>
    <w:rsid w:val="00E8536A"/>
    <w:rsid w:val="00ED228B"/>
    <w:rsid w:val="00EF331A"/>
    <w:rsid w:val="00F77D4C"/>
    <w:rsid w:val="00FA5877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2022-09-06T12:50:00Z</dcterms:created>
  <dcterms:modified xsi:type="dcterms:W3CDTF">2022-09-06T13:00:00Z</dcterms:modified>
</cp:coreProperties>
</file>