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78" w:type="dxa"/>
        <w:tblLayout w:type="fixed"/>
        <w:tblLook w:val="04A0" w:firstRow="1" w:lastRow="0" w:firstColumn="1" w:lastColumn="0" w:noHBand="0" w:noVBand="1"/>
      </w:tblPr>
      <w:tblGrid>
        <w:gridCol w:w="9278"/>
      </w:tblGrid>
      <w:tr w:rsidR="00E808DE" w:rsidRPr="00E808DE" w14:paraId="27F74E89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9AD9EA"/>
            <w:vAlign w:val="center"/>
          </w:tcPr>
          <w:p w14:paraId="24994BA2" w14:textId="6BD9DBD1" w:rsidR="00E808DE" w:rsidRPr="00E808DE" w:rsidRDefault="00A62133" w:rsidP="00F77D4C">
            <w:pPr>
              <w:spacing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b/>
                <w:color w:val="0B416C"/>
                <w:sz w:val="24"/>
              </w:rPr>
              <w:t>Steckbrief: Open Space</w:t>
            </w:r>
          </w:p>
        </w:tc>
      </w:tr>
      <w:tr w:rsidR="00037991" w:rsidRPr="00E808DE" w14:paraId="274909BE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0361453D" w14:textId="77777777" w:rsidR="00037991" w:rsidRDefault="00A62133" w:rsidP="003D3795">
            <w:pPr>
              <w:spacing w:before="80" w:after="80" w:line="259" w:lineRule="auto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Ziel:</w:t>
            </w:r>
          </w:p>
          <w:p w14:paraId="4A96BE05" w14:textId="77777777" w:rsidR="00A62133" w:rsidRDefault="00A62133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Einflussnahme auf Öffentlichkeit und Gesellschaft</w:t>
            </w:r>
          </w:p>
          <w:p w14:paraId="09FC189E" w14:textId="2D1C3C93" w:rsidR="00A62133" w:rsidRPr="00A62133" w:rsidRDefault="00A62133" w:rsidP="00A62133">
            <w:pPr>
              <w:pStyle w:val="Listenabsatz"/>
              <w:numPr>
                <w:ilvl w:val="0"/>
                <w:numId w:val="33"/>
              </w:numPr>
              <w:spacing w:before="80" w:after="80"/>
              <w:rPr>
                <w:rFonts w:ascii="Arial" w:hAnsi="Arial" w:cs="Arial"/>
                <w:color w:val="0B416C"/>
              </w:rPr>
            </w:pPr>
            <w:r>
              <w:rPr>
                <w:rFonts w:ascii="Arial" w:hAnsi="Arial" w:cs="Arial"/>
                <w:color w:val="0B416C"/>
              </w:rPr>
              <w:t>Möglichst viele Menschen sollen für die Lösung komplexer, individueller oder gemeinschaftlicher Probleme mobilisiert werden</w:t>
            </w:r>
          </w:p>
        </w:tc>
      </w:tr>
      <w:tr w:rsidR="008561F4" w:rsidRPr="00E808DE" w14:paraId="36274A91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04E47D9" w14:textId="008E2942" w:rsidR="008561F4" w:rsidRPr="008561F4" w:rsidRDefault="008561F4" w:rsidP="008561F4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Gruppengröße: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 10-2000</w:t>
            </w:r>
            <w:r>
              <w:rPr>
                <w:rFonts w:ascii="Arial" w:hAnsi="Arial" w:cs="Arial"/>
                <w:bCs/>
                <w:color w:val="0B416C"/>
              </w:rPr>
              <w:t xml:space="preserve"> Personen</w:t>
            </w:r>
          </w:p>
        </w:tc>
      </w:tr>
      <w:tr w:rsidR="008561F4" w:rsidRPr="00E808DE" w14:paraId="16AF6253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08328F48" w14:textId="6D8E8E4A" w:rsidR="008561F4" w:rsidRPr="008561F4" w:rsidRDefault="008561F4" w:rsidP="003D3795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Dauer: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A62133">
              <w:rPr>
                <w:rFonts w:ascii="Arial" w:hAnsi="Arial" w:cs="Arial"/>
                <w:bCs/>
                <w:color w:val="0B416C"/>
              </w:rPr>
              <w:t>1-5 Tage</w:t>
            </w:r>
          </w:p>
        </w:tc>
      </w:tr>
      <w:tr w:rsidR="008561F4" w:rsidRPr="00E808DE" w14:paraId="26563E7A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4BF9F7C" w14:textId="32171F1D" w:rsidR="008561F4" w:rsidRPr="008561F4" w:rsidRDefault="008561F4" w:rsidP="003D3795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Zeitpunkt:</w:t>
            </w:r>
            <w:r w:rsidRPr="008561F4">
              <w:rPr>
                <w:rFonts w:ascii="Arial" w:hAnsi="Arial" w:cs="Arial"/>
                <w:bCs/>
                <w:color w:val="0B416C"/>
              </w:rPr>
              <w:t xml:space="preserve"> </w:t>
            </w:r>
            <w:r w:rsidR="00A62133">
              <w:rPr>
                <w:rFonts w:ascii="Arial" w:hAnsi="Arial" w:cs="Arial"/>
                <w:bCs/>
                <w:color w:val="0B416C"/>
              </w:rPr>
              <w:t>Auftaktveranstaltung</w:t>
            </w:r>
          </w:p>
        </w:tc>
      </w:tr>
      <w:tr w:rsidR="008561F4" w:rsidRPr="00E808DE" w14:paraId="17538A75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1BB9437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Kurzbeschreibung:</w:t>
            </w:r>
          </w:p>
          <w:p w14:paraId="2C8221B3" w14:textId="693ADC57" w:rsidR="008561F4" w:rsidRPr="008561F4" w:rsidRDefault="00A62133" w:rsidP="00A6213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62133">
              <w:rPr>
                <w:rFonts w:ascii="Arial" w:hAnsi="Arial" w:cs="Arial"/>
                <w:bCs/>
                <w:color w:val="0B416C"/>
              </w:rPr>
              <w:t>Bei eine</w:t>
            </w:r>
            <w:r>
              <w:rPr>
                <w:rFonts w:ascii="Arial" w:hAnsi="Arial" w:cs="Arial"/>
                <w:bCs/>
                <w:color w:val="0B416C"/>
              </w:rPr>
              <w:t xml:space="preserve">m Open Space (open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space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= englisch</w:t>
            </w:r>
            <w:r w:rsidRPr="00A62133">
              <w:rPr>
                <w:rFonts w:ascii="Arial" w:hAnsi="Arial" w:cs="Arial"/>
                <w:bCs/>
                <w:color w:val="0B416C"/>
              </w:rPr>
              <w:t xml:space="preserve"> für offener Raum) gib</w:t>
            </w:r>
            <w:r>
              <w:rPr>
                <w:rFonts w:ascii="Arial" w:hAnsi="Arial" w:cs="Arial"/>
                <w:bCs/>
                <w:color w:val="0B416C"/>
              </w:rPr>
              <w:t xml:space="preserve">t es ein Leitthema, aber keine festgelegten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Referent:</w:t>
            </w:r>
            <w:r w:rsidRPr="00A62133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proofErr w:type="gramEnd"/>
            <w:r w:rsidRPr="00A62133">
              <w:rPr>
                <w:rFonts w:ascii="Arial" w:hAnsi="Arial" w:cs="Arial"/>
                <w:bCs/>
                <w:color w:val="0B416C"/>
              </w:rPr>
              <w:t xml:space="preserve"> oder vorbereiteten</w:t>
            </w:r>
            <w:r>
              <w:rPr>
                <w:rFonts w:ascii="Arial" w:hAnsi="Arial" w:cs="Arial"/>
                <w:bCs/>
                <w:color w:val="0B416C"/>
              </w:rPr>
              <w:t xml:space="preserve"> Arbeitsgruppen. Die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 xml:space="preserve"> bestimmen </w:t>
            </w:r>
            <w:r w:rsidRPr="00A62133">
              <w:rPr>
                <w:rFonts w:ascii="Arial" w:hAnsi="Arial" w:cs="Arial"/>
                <w:bCs/>
                <w:color w:val="0B416C"/>
              </w:rPr>
              <w:t>selbst, wer wie lange zu welchen Themen</w:t>
            </w:r>
            <w:r>
              <w:rPr>
                <w:rFonts w:ascii="Arial" w:hAnsi="Arial" w:cs="Arial"/>
                <w:bCs/>
                <w:color w:val="0B416C"/>
              </w:rPr>
              <w:t xml:space="preserve"> arbeiten will. Alle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 xml:space="preserve"> sind gleichberechtigt und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Expert:</w:t>
            </w:r>
            <w:r w:rsidRPr="00A62133">
              <w:rPr>
                <w:rFonts w:ascii="Arial" w:hAnsi="Arial" w:cs="Arial"/>
                <w:bCs/>
                <w:color w:val="0B416C"/>
              </w:rPr>
              <w:t>innen</w:t>
            </w:r>
            <w:proofErr w:type="spellEnd"/>
            <w:r w:rsidRPr="00A62133">
              <w:rPr>
                <w:rFonts w:ascii="Arial" w:hAnsi="Arial" w:cs="Arial"/>
                <w:bCs/>
                <w:color w:val="0B416C"/>
              </w:rPr>
              <w:t xml:space="preserve"> auf Augenhöhe.</w:t>
            </w:r>
          </w:p>
        </w:tc>
      </w:tr>
      <w:tr w:rsidR="008561F4" w:rsidRPr="00E808DE" w14:paraId="12E9167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49AE683B" w14:textId="77777777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Ablauf:</w:t>
            </w:r>
          </w:p>
          <w:p w14:paraId="2AE3AE39" w14:textId="4FABF6AE" w:rsidR="008561F4" w:rsidRPr="008561F4" w:rsidRDefault="00A62133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Vorbereitungstreffen: Klärung der Leitfrage (Warum soll das Treffen stattfinden?), Erstellen eines Verlaufsplans, Klärung des Raum- und Materialbedarfs sowie der Verpflegung, ggf. Dokumentation des Treffens, Verfassen der Einladung an die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</w:p>
          <w:p w14:paraId="3CC7C01B" w14:textId="7C6E39BB" w:rsidR="008561F4" w:rsidRDefault="00A62133" w:rsidP="008561F4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Open-Space-Veranstaltung: Begrüßung der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B416C"/>
              </w:rPr>
              <w:t>, Nennung des Themas, Beschreibung der Methode (Wie funktioniert Open Space?), Einladung zum Austausch/ Eröffnung des Prozesses, Sammlung von Anliegen und Bilden von Arbeitsgruppen, Diskussion in und zwischen den Arbeitsgruppen (Prioritäten setzen und Handlungsbedarf identifizieren), Ausblick und Handlungsplanung für die Umsetzung</w:t>
            </w:r>
          </w:p>
          <w:p w14:paraId="28147EE5" w14:textId="77777777" w:rsidR="008561F4" w:rsidRDefault="00A62133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Phase der Umsetzung</w:t>
            </w:r>
          </w:p>
          <w:p w14:paraId="127AFA82" w14:textId="0865D684" w:rsidR="00A62133" w:rsidRPr="003D3795" w:rsidRDefault="00A62133" w:rsidP="003D3795">
            <w:pPr>
              <w:pStyle w:val="Listenabsatz"/>
              <w:numPr>
                <w:ilvl w:val="0"/>
                <w:numId w:val="28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Nachbereitungstreffen: Bestandsaufnahme, Bewertung der Ergebnisse, Ausblick und Formulierung der nächsten Schritte</w:t>
            </w:r>
          </w:p>
        </w:tc>
      </w:tr>
      <w:tr w:rsidR="008561F4" w:rsidRPr="00E808DE" w14:paraId="462123A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48E1AC9" w14:textId="6E7BD2E6" w:rsidR="008561F4" w:rsidRPr="008561F4" w:rsidRDefault="008561F4" w:rsidP="008561F4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8561F4">
              <w:rPr>
                <w:rFonts w:ascii="Arial" w:hAnsi="Arial" w:cs="Arial"/>
                <w:b/>
                <w:bCs/>
                <w:color w:val="0B416C"/>
              </w:rPr>
              <w:t>Aufwand für Durchführende</w:t>
            </w:r>
            <w:r w:rsid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3AA670B4" w14:textId="41E215D4" w:rsidR="008561F4" w:rsidRPr="00AA1A63" w:rsidRDefault="00A62133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>Zeit</w:t>
            </w:r>
            <w:r w:rsidR="008561F4"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>
              <w:rPr>
                <w:rFonts w:ascii="Arial" w:hAnsi="Arial" w:cs="Arial"/>
                <w:bCs/>
                <w:color w:val="0B416C"/>
              </w:rPr>
              <w:t>1-5 Tage</w:t>
            </w:r>
          </w:p>
          <w:p w14:paraId="1E3E8182" w14:textId="34D093EA" w:rsidR="008561F4" w:rsidRPr="00AA1A63" w:rsidRDefault="008561F4" w:rsidP="00AA1A6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Kosten: </w:t>
            </w:r>
            <w:r w:rsidR="00A62133">
              <w:rPr>
                <w:rFonts w:ascii="Arial" w:hAnsi="Arial" w:cs="Arial"/>
                <w:bCs/>
                <w:color w:val="0B416C"/>
              </w:rPr>
              <w:t>Raummiete für Veranstaltung, Personal (z. B. externe Moderation), Material, Verpflegung</w:t>
            </w:r>
          </w:p>
          <w:p w14:paraId="6FB321B6" w14:textId="67B7E6FD" w:rsidR="008561F4" w:rsidRPr="00AA1A63" w:rsidRDefault="008561F4" w:rsidP="003D3795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Nutzen: </w:t>
            </w:r>
            <w:proofErr w:type="spellStart"/>
            <w:r w:rsidR="00A62133">
              <w:rPr>
                <w:rFonts w:ascii="Arial" w:hAnsi="Arial" w:cs="Arial"/>
                <w:bCs/>
                <w:color w:val="0B416C"/>
              </w:rPr>
              <w:t>Teilnehmer:innen</w:t>
            </w:r>
            <w:proofErr w:type="spellEnd"/>
            <w:r w:rsidR="00A62133">
              <w:rPr>
                <w:rFonts w:ascii="Arial" w:hAnsi="Arial" w:cs="Arial"/>
                <w:bCs/>
                <w:color w:val="0B416C"/>
              </w:rPr>
              <w:t xml:space="preserve"> werden zu kreativen Lösungsansätzen angeregt</w:t>
            </w:r>
          </w:p>
        </w:tc>
      </w:tr>
      <w:tr w:rsidR="00AA1A63" w:rsidRPr="00E808DE" w14:paraId="617528E5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618189C8" w14:textId="0D10636E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Aufwand für Zielgruppe</w:t>
            </w:r>
            <w:r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418FABCD" w14:textId="5C522D05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Zeit: </w:t>
            </w:r>
            <w:r w:rsidR="00A62133">
              <w:rPr>
                <w:rFonts w:ascii="Arial" w:hAnsi="Arial" w:cs="Arial"/>
                <w:bCs/>
                <w:color w:val="0B416C"/>
              </w:rPr>
              <w:t>je nach Dauer der Veranstaltung einen halben bis zweieinhalb Tage</w:t>
            </w:r>
          </w:p>
          <w:p w14:paraId="11B65AF6" w14:textId="597174C6" w:rsidR="00AA1A63" w:rsidRPr="00AA1A63" w:rsidRDefault="00AA1A63" w:rsidP="00AA1A63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proofErr w:type="spellStart"/>
            <w:r w:rsidRPr="00AA1A63">
              <w:rPr>
                <w:rFonts w:ascii="Arial" w:hAnsi="Arial" w:cs="Arial"/>
                <w:bCs/>
                <w:color w:val="0B416C"/>
              </w:rPr>
              <w:t>Niedrigschwelligkeit</w:t>
            </w:r>
            <w:proofErr w:type="spellEnd"/>
            <w:r w:rsidRPr="00AA1A63">
              <w:rPr>
                <w:rFonts w:ascii="Arial" w:hAnsi="Arial" w:cs="Arial"/>
                <w:bCs/>
                <w:color w:val="0B416C"/>
              </w:rPr>
              <w:t xml:space="preserve">: </w:t>
            </w:r>
            <w:r w:rsidR="00A62133">
              <w:rPr>
                <w:rFonts w:ascii="Arial" w:hAnsi="Arial" w:cs="Arial"/>
                <w:bCs/>
                <w:color w:val="0B416C"/>
              </w:rPr>
              <w:t>Abkehr vom konventionellen Kongressformat vermittelt einen zwanglosen Charakter der Veranstaltung</w:t>
            </w:r>
          </w:p>
          <w:p w14:paraId="748D07E7" w14:textId="38D34F14" w:rsidR="00AA1A63" w:rsidRPr="00AA1A63" w:rsidRDefault="00AA1A63" w:rsidP="003D3795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Cs/>
                <w:color w:val="0B416C"/>
              </w:rPr>
              <w:t xml:space="preserve">Barrieren: </w:t>
            </w:r>
            <w:r w:rsidR="00A62133">
              <w:rPr>
                <w:rFonts w:ascii="Arial" w:hAnsi="Arial" w:cs="Arial"/>
                <w:bCs/>
                <w:color w:val="0B416C"/>
              </w:rPr>
              <w:t xml:space="preserve">Einsatz für ein Thema </w:t>
            </w:r>
            <w:proofErr w:type="spellStart"/>
            <w:r w:rsidR="00A62133">
              <w:rPr>
                <w:rFonts w:ascii="Arial" w:hAnsi="Arial" w:cs="Arial"/>
                <w:bCs/>
                <w:color w:val="0B416C"/>
              </w:rPr>
              <w:t>erforder</w:t>
            </w:r>
            <w:proofErr w:type="spellEnd"/>
            <w:r w:rsidR="00A62133">
              <w:rPr>
                <w:rFonts w:ascii="Arial" w:hAnsi="Arial" w:cs="Arial"/>
                <w:bCs/>
                <w:color w:val="0B416C"/>
              </w:rPr>
              <w:t xml:space="preserve"> Mut und Engagement, Sprechen vor der Gruppe/Moderieren</w:t>
            </w:r>
          </w:p>
        </w:tc>
      </w:tr>
      <w:tr w:rsidR="00AA1A63" w:rsidRPr="00E808DE" w14:paraId="488984FC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6FD83547" w14:textId="77777777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t>Material:</w:t>
            </w:r>
          </w:p>
          <w:p w14:paraId="14061613" w14:textId="23585253" w:rsidR="00AA1A63" w:rsidRPr="00AA1A63" w:rsidRDefault="00A62133" w:rsidP="00AA1A6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>
              <w:rPr>
                <w:rFonts w:ascii="Arial" w:hAnsi="Arial" w:cs="Arial"/>
                <w:bCs/>
                <w:color w:val="0B416C"/>
              </w:rPr>
              <w:t xml:space="preserve">Pinnwände, Moderationskoffer, Stifte und Papier zum Protokollieren, Möglichkeiten zum Vervielfältigen und Festhalten der Ergebnisse (Laptop, ggf. </w:t>
            </w:r>
            <w:proofErr w:type="spellStart"/>
            <w:r>
              <w:rPr>
                <w:rFonts w:ascii="Arial" w:hAnsi="Arial" w:cs="Arial"/>
                <w:bCs/>
                <w:color w:val="0B416C"/>
              </w:rPr>
              <w:t>Beamer</w:t>
            </w:r>
            <w:proofErr w:type="spellEnd"/>
            <w:r>
              <w:rPr>
                <w:rFonts w:ascii="Arial" w:hAnsi="Arial" w:cs="Arial"/>
                <w:bCs/>
                <w:color w:val="0B416C"/>
              </w:rPr>
              <w:t>, Drucker, Fotoapparat, Kopierer)</w:t>
            </w:r>
          </w:p>
        </w:tc>
      </w:tr>
      <w:tr w:rsidR="00AA1A63" w:rsidRPr="00E808DE" w14:paraId="2CDB4082" w14:textId="77777777" w:rsidTr="00AA1A63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DEEAF6" w:themeFill="accent1" w:themeFillTint="33"/>
            <w:vAlign w:val="center"/>
          </w:tcPr>
          <w:p w14:paraId="5620B432" w14:textId="2F304E9C" w:rsidR="00A62133" w:rsidRPr="00AA1A63" w:rsidRDefault="00A6213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>
              <w:rPr>
                <w:rFonts w:ascii="Arial" w:hAnsi="Arial" w:cs="Arial"/>
                <w:b/>
                <w:bCs/>
                <w:color w:val="0B416C"/>
              </w:rPr>
              <w:t>Fazit:</w:t>
            </w:r>
          </w:p>
          <w:p w14:paraId="385B97CC" w14:textId="01BFCFE5" w:rsidR="00AA1A63" w:rsidRPr="00C54E9D" w:rsidRDefault="00A62133" w:rsidP="00A62133">
            <w:p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A62133">
              <w:rPr>
                <w:rFonts w:ascii="Arial" w:hAnsi="Arial" w:cs="Arial"/>
                <w:bCs/>
                <w:color w:val="0B416C"/>
              </w:rPr>
              <w:lastRenderedPageBreak/>
              <w:t>Während eines Open Space werden durch verschiedene Menschen viel</w:t>
            </w:r>
            <w:r>
              <w:rPr>
                <w:rFonts w:ascii="Arial" w:hAnsi="Arial" w:cs="Arial"/>
                <w:bCs/>
                <w:color w:val="0B416C"/>
              </w:rPr>
              <w:t xml:space="preserve">e kreative Impulse freigesetzt </w:t>
            </w:r>
            <w:r w:rsidRPr="00A62133">
              <w:rPr>
                <w:rFonts w:ascii="Arial" w:hAnsi="Arial" w:cs="Arial"/>
                <w:bCs/>
                <w:color w:val="0B416C"/>
              </w:rPr>
              <w:t>und Ideen formuliert. Diese können z.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A62133">
              <w:rPr>
                <w:rFonts w:ascii="Arial" w:hAnsi="Arial" w:cs="Arial"/>
                <w:bCs/>
                <w:color w:val="0B416C"/>
              </w:rPr>
              <w:t>B. für ein Thema gewonnen od</w:t>
            </w:r>
            <w:r>
              <w:rPr>
                <w:rFonts w:ascii="Arial" w:hAnsi="Arial" w:cs="Arial"/>
                <w:bCs/>
                <w:color w:val="0B416C"/>
              </w:rPr>
              <w:t xml:space="preserve">er sensibilisiert werden. Wenn </w:t>
            </w:r>
            <w:r w:rsidRPr="00A62133">
              <w:rPr>
                <w:rFonts w:ascii="Arial" w:hAnsi="Arial" w:cs="Arial"/>
                <w:bCs/>
                <w:color w:val="0B416C"/>
              </w:rPr>
              <w:t>danach die Möglichkeit zur Umsetzung</w:t>
            </w:r>
            <w:r>
              <w:rPr>
                <w:rFonts w:ascii="Arial" w:hAnsi="Arial" w:cs="Arial"/>
                <w:bCs/>
                <w:color w:val="0B416C"/>
              </w:rPr>
              <w:t>,</w:t>
            </w:r>
            <w:r w:rsidRPr="00A62133">
              <w:rPr>
                <w:rFonts w:ascii="Arial" w:hAnsi="Arial" w:cs="Arial"/>
                <w:bCs/>
                <w:color w:val="0B416C"/>
              </w:rPr>
              <w:t xml:space="preserve"> z.</w:t>
            </w:r>
            <w:r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A62133">
              <w:rPr>
                <w:rFonts w:ascii="Arial" w:hAnsi="Arial" w:cs="Arial"/>
                <w:bCs/>
                <w:color w:val="0B416C"/>
              </w:rPr>
              <w:t>B. durch Arbeitsgruppen</w:t>
            </w:r>
            <w:r>
              <w:rPr>
                <w:rFonts w:ascii="Arial" w:hAnsi="Arial" w:cs="Arial"/>
                <w:bCs/>
                <w:color w:val="0B416C"/>
              </w:rPr>
              <w:t>,</w:t>
            </w:r>
            <w:r w:rsidRPr="00A62133">
              <w:rPr>
                <w:rFonts w:ascii="Arial" w:hAnsi="Arial" w:cs="Arial"/>
                <w:bCs/>
                <w:color w:val="0B416C"/>
              </w:rPr>
              <w:t xml:space="preserve"> f</w:t>
            </w:r>
            <w:r>
              <w:rPr>
                <w:rFonts w:ascii="Arial" w:hAnsi="Arial" w:cs="Arial"/>
                <w:bCs/>
                <w:color w:val="0B416C"/>
              </w:rPr>
              <w:t>ehlt, ist von Open Space abzura</w:t>
            </w:r>
            <w:r w:rsidRPr="00A62133">
              <w:rPr>
                <w:rFonts w:ascii="Arial" w:hAnsi="Arial" w:cs="Arial"/>
                <w:bCs/>
                <w:color w:val="0B416C"/>
              </w:rPr>
              <w:t>ten, den</w:t>
            </w:r>
            <w:r w:rsidR="00C54E9D">
              <w:rPr>
                <w:rFonts w:ascii="Arial" w:hAnsi="Arial" w:cs="Arial"/>
                <w:bCs/>
                <w:color w:val="0B416C"/>
              </w:rPr>
              <w:t>n</w:t>
            </w:r>
            <w:r w:rsidRPr="00A62133">
              <w:rPr>
                <w:rFonts w:ascii="Arial" w:hAnsi="Arial" w:cs="Arial"/>
                <w:bCs/>
                <w:color w:val="0B416C"/>
              </w:rPr>
              <w:t xml:space="preserve"> die Teilnehmenden ver</w:t>
            </w:r>
            <w:r w:rsidR="00C54E9D">
              <w:rPr>
                <w:rFonts w:ascii="Arial" w:hAnsi="Arial" w:cs="Arial"/>
                <w:bCs/>
                <w:color w:val="0B416C"/>
              </w:rPr>
              <w:t xml:space="preserve">lieren das Vertrauen. Eine Open-Space-Veranstaltung ist nicht für </w:t>
            </w:r>
            <w:r w:rsidRPr="00A62133">
              <w:rPr>
                <w:rFonts w:ascii="Arial" w:hAnsi="Arial" w:cs="Arial"/>
                <w:bCs/>
                <w:color w:val="0B416C"/>
              </w:rPr>
              <w:t>jede Fragestellung eine geeignete Methode. Sie ist z.</w:t>
            </w:r>
            <w:r w:rsidR="00C54E9D">
              <w:rPr>
                <w:rFonts w:ascii="Arial" w:hAnsi="Arial" w:cs="Arial"/>
                <w:bCs/>
                <w:color w:val="0B416C"/>
              </w:rPr>
              <w:t xml:space="preserve"> </w:t>
            </w:r>
            <w:r w:rsidRPr="00A62133">
              <w:rPr>
                <w:rFonts w:ascii="Arial" w:hAnsi="Arial" w:cs="Arial"/>
                <w:bCs/>
                <w:color w:val="0B416C"/>
              </w:rPr>
              <w:t>B. ungeeignet, w</w:t>
            </w:r>
            <w:r w:rsidR="00C54E9D">
              <w:rPr>
                <w:rFonts w:ascii="Arial" w:hAnsi="Arial" w:cs="Arial"/>
                <w:bCs/>
                <w:color w:val="0B416C"/>
              </w:rPr>
              <w:t xml:space="preserve">enn die aktuelle Fragestellung </w:t>
            </w:r>
            <w:r w:rsidRPr="00A62133">
              <w:rPr>
                <w:rFonts w:ascii="Arial" w:hAnsi="Arial" w:cs="Arial"/>
                <w:bCs/>
                <w:color w:val="0B416C"/>
              </w:rPr>
              <w:t xml:space="preserve">einen zu niedrigen Komplexitätsgrad (Ja/Nein-Frage als Leitfrage) hat oder zu wenig Brisanz. </w:t>
            </w:r>
            <w:r w:rsidR="00C54E9D">
              <w:rPr>
                <w:rFonts w:ascii="Arial" w:hAnsi="Arial" w:cs="Arial"/>
                <w:bCs/>
                <w:color w:val="0B416C"/>
              </w:rPr>
              <w:t xml:space="preserve">Sie ist auch nicht geeignet, </w:t>
            </w:r>
            <w:r w:rsidRPr="00A62133">
              <w:rPr>
                <w:rFonts w:ascii="Arial" w:hAnsi="Arial" w:cs="Arial"/>
                <w:bCs/>
                <w:color w:val="0B416C"/>
              </w:rPr>
              <w:t>wenn bereits Lösungen angedacht sind, die umgesetzt werden sollen</w:t>
            </w:r>
            <w:r w:rsidR="00C54E9D">
              <w:rPr>
                <w:rFonts w:ascii="Arial" w:hAnsi="Arial" w:cs="Arial"/>
                <w:bCs/>
                <w:color w:val="0B416C"/>
              </w:rPr>
              <w:t xml:space="preserve">. Open Space eignet sich ideal </w:t>
            </w:r>
            <w:r w:rsidRPr="00A62133">
              <w:rPr>
                <w:rFonts w:ascii="Arial" w:hAnsi="Arial" w:cs="Arial"/>
                <w:bCs/>
                <w:color w:val="0B416C"/>
              </w:rPr>
              <w:t>für Zielgruppen, für die eine herkömmliche Konferenzstruktur nicht</w:t>
            </w:r>
            <w:r w:rsidR="00C54E9D">
              <w:rPr>
                <w:rFonts w:ascii="Arial" w:hAnsi="Arial" w:cs="Arial"/>
                <w:bCs/>
                <w:color w:val="0B416C"/>
              </w:rPr>
              <w:t xml:space="preserve"> angemessen ist und die in der </w:t>
            </w:r>
            <w:r w:rsidRPr="00A62133">
              <w:rPr>
                <w:rFonts w:ascii="Arial" w:hAnsi="Arial" w:cs="Arial"/>
                <w:bCs/>
                <w:color w:val="0B416C"/>
              </w:rPr>
              <w:t>Regel nicht zu Wort kommen</w:t>
            </w:r>
          </w:p>
        </w:tc>
      </w:tr>
      <w:tr w:rsidR="00AA1A63" w:rsidRPr="00E808DE" w14:paraId="73145D30" w14:textId="77777777" w:rsidTr="008561F4">
        <w:trPr>
          <w:trHeight w:val="567"/>
        </w:trPr>
        <w:tc>
          <w:tcPr>
            <w:tcW w:w="9278" w:type="dxa"/>
            <w:tcBorders>
              <w:top w:val="single" w:sz="12" w:space="0" w:color="36B2D4"/>
              <w:left w:val="single" w:sz="12" w:space="0" w:color="36B2D4"/>
              <w:bottom w:val="single" w:sz="12" w:space="0" w:color="36B2D4"/>
              <w:right w:val="single" w:sz="12" w:space="0" w:color="36B2D4"/>
            </w:tcBorders>
            <w:shd w:val="clear" w:color="auto" w:fill="auto"/>
            <w:vAlign w:val="center"/>
          </w:tcPr>
          <w:p w14:paraId="56E09913" w14:textId="225EAB9F" w:rsidR="00AA1A63" w:rsidRPr="00AA1A63" w:rsidRDefault="00AA1A63" w:rsidP="00AA1A63">
            <w:pPr>
              <w:spacing w:before="80" w:after="80"/>
              <w:rPr>
                <w:rFonts w:ascii="Arial" w:hAnsi="Arial" w:cs="Arial"/>
                <w:b/>
                <w:bCs/>
                <w:color w:val="0B416C"/>
              </w:rPr>
            </w:pPr>
            <w:r w:rsidRPr="00AA1A63">
              <w:rPr>
                <w:rFonts w:ascii="Arial" w:hAnsi="Arial" w:cs="Arial"/>
                <w:b/>
                <w:bCs/>
                <w:color w:val="0B416C"/>
              </w:rPr>
              <w:lastRenderedPageBreak/>
              <w:t>Quelle</w:t>
            </w:r>
            <w:r>
              <w:rPr>
                <w:rFonts w:ascii="Arial" w:hAnsi="Arial" w:cs="Arial"/>
                <w:b/>
                <w:bCs/>
                <w:color w:val="0B416C"/>
              </w:rPr>
              <w:t>n</w:t>
            </w:r>
            <w:r w:rsidRPr="00AA1A63">
              <w:rPr>
                <w:rFonts w:ascii="Arial" w:hAnsi="Arial" w:cs="Arial"/>
                <w:b/>
                <w:bCs/>
                <w:color w:val="0B416C"/>
              </w:rPr>
              <w:t>:</w:t>
            </w:r>
          </w:p>
          <w:p w14:paraId="2B160207" w14:textId="3CA30634" w:rsidR="00C54E9D" w:rsidRPr="00C54E9D" w:rsidRDefault="00C54E9D" w:rsidP="00C54E9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C54E9D">
              <w:rPr>
                <w:rFonts w:ascii="Arial" w:hAnsi="Arial" w:cs="Arial"/>
                <w:bCs/>
                <w:color w:val="0B416C"/>
              </w:rPr>
              <w:t xml:space="preserve">Baumann F, </w:t>
            </w:r>
            <w:proofErr w:type="spellStart"/>
            <w:r w:rsidRPr="00C54E9D">
              <w:rPr>
                <w:rFonts w:ascii="Arial" w:hAnsi="Arial" w:cs="Arial"/>
                <w:bCs/>
                <w:color w:val="0B416C"/>
              </w:rPr>
              <w:t>Detlefsen</w:t>
            </w:r>
            <w:proofErr w:type="spellEnd"/>
            <w:r w:rsidRPr="00C54E9D">
              <w:rPr>
                <w:rFonts w:ascii="Arial" w:hAnsi="Arial" w:cs="Arial"/>
                <w:bCs/>
                <w:color w:val="0B416C"/>
              </w:rPr>
              <w:t xml:space="preserve"> M. Open Space – oder: Kaffeepause</w:t>
            </w:r>
            <w:r>
              <w:rPr>
                <w:rFonts w:ascii="Arial" w:hAnsi="Arial" w:cs="Arial"/>
                <w:bCs/>
                <w:color w:val="0B416C"/>
              </w:rPr>
              <w:t>n in der Stadt- und Regionalent</w:t>
            </w:r>
            <w:r w:rsidRPr="00C54E9D">
              <w:rPr>
                <w:rFonts w:ascii="Arial" w:hAnsi="Arial" w:cs="Arial"/>
                <w:bCs/>
                <w:color w:val="0B416C"/>
              </w:rPr>
              <w:t xml:space="preserve">wicklung. In </w:t>
            </w:r>
            <w:proofErr w:type="spellStart"/>
            <w:r w:rsidRPr="00C54E9D">
              <w:rPr>
                <w:rFonts w:ascii="Arial" w:hAnsi="Arial" w:cs="Arial"/>
                <w:bCs/>
                <w:color w:val="0B416C"/>
              </w:rPr>
              <w:t>RaumPlanung</w:t>
            </w:r>
            <w:proofErr w:type="spellEnd"/>
            <w:r w:rsidRPr="00C54E9D">
              <w:rPr>
                <w:rFonts w:ascii="Arial" w:hAnsi="Arial" w:cs="Arial"/>
                <w:bCs/>
                <w:color w:val="0B416C"/>
              </w:rPr>
              <w:t xml:space="preserve"> 123/2005, S. 249-253. </w:t>
            </w:r>
          </w:p>
          <w:p w14:paraId="0658808B" w14:textId="6C08B919" w:rsidR="00C54E9D" w:rsidRPr="00C54E9D" w:rsidRDefault="00C54E9D" w:rsidP="00C54E9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  <w:lang w:val="en-US"/>
              </w:rPr>
            </w:pPr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 xml:space="preserve">Chambers R. Participatory Workshops: Open Space. London: </w:t>
            </w:r>
            <w:proofErr w:type="spellStart"/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>Earthscan</w:t>
            </w:r>
            <w:proofErr w:type="spellEnd"/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 xml:space="preserve">; 2015, S. 125-126. </w:t>
            </w:r>
          </w:p>
          <w:p w14:paraId="0C47F83E" w14:textId="040918CA" w:rsidR="00C54E9D" w:rsidRPr="00C54E9D" w:rsidRDefault="00C54E9D" w:rsidP="00C54E9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C54E9D">
              <w:rPr>
                <w:rFonts w:ascii="Arial" w:hAnsi="Arial" w:cs="Arial"/>
                <w:bCs/>
                <w:color w:val="0B416C"/>
              </w:rPr>
              <w:t xml:space="preserve">Drescher UM. Großformen der Moderation. In: </w:t>
            </w:r>
            <w:proofErr w:type="spellStart"/>
            <w:r w:rsidRPr="00C54E9D">
              <w:rPr>
                <w:rFonts w:ascii="Arial" w:hAnsi="Arial" w:cs="Arial"/>
                <w:bCs/>
                <w:color w:val="0B416C"/>
              </w:rPr>
              <w:t>Bolender</w:t>
            </w:r>
            <w:proofErr w:type="spellEnd"/>
            <w:r w:rsidRPr="00C54E9D">
              <w:rPr>
                <w:rFonts w:ascii="Arial" w:hAnsi="Arial" w:cs="Arial"/>
                <w:bCs/>
                <w:color w:val="0B416C"/>
              </w:rPr>
              <w:t xml:space="preserve"> S,</w:t>
            </w:r>
            <w:r>
              <w:rPr>
                <w:rFonts w:ascii="Arial" w:hAnsi="Arial" w:cs="Arial"/>
                <w:bCs/>
                <w:color w:val="0B416C"/>
              </w:rPr>
              <w:t xml:space="preserve"> Hrsg. Managementtrainer. Frank</w:t>
            </w:r>
            <w:r w:rsidRPr="00C54E9D">
              <w:rPr>
                <w:rFonts w:ascii="Arial" w:hAnsi="Arial" w:cs="Arial"/>
                <w:bCs/>
                <w:color w:val="0B416C"/>
              </w:rPr>
              <w:t xml:space="preserve">furt: Campus-Verlag; 1998. </w:t>
            </w:r>
          </w:p>
          <w:p w14:paraId="0249C758" w14:textId="349B414C" w:rsidR="00C54E9D" w:rsidRPr="00C54E9D" w:rsidRDefault="00C54E9D" w:rsidP="00C54E9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  <w:lang w:val="en-US"/>
              </w:rPr>
            </w:pPr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 xml:space="preserve">Owen H. Open Space Technology: A User’s Guide. 2. </w:t>
            </w:r>
            <w:proofErr w:type="spellStart"/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>Aufl</w:t>
            </w:r>
            <w:proofErr w:type="spellEnd"/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 xml:space="preserve">. San Francisco: </w:t>
            </w:r>
            <w:proofErr w:type="spellStart"/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>Berett</w:t>
            </w:r>
            <w:proofErr w:type="spellEnd"/>
            <w:r w:rsidRPr="00C54E9D">
              <w:rPr>
                <w:rFonts w:ascii="Arial" w:hAnsi="Arial" w:cs="Arial"/>
                <w:bCs/>
                <w:color w:val="0B416C"/>
                <w:lang w:val="en-US"/>
              </w:rPr>
              <w:t xml:space="preserve">-Koehler Publishers; 1997. </w:t>
            </w:r>
          </w:p>
          <w:p w14:paraId="0177FC3D" w14:textId="490A4E69" w:rsidR="00AA1A63" w:rsidRPr="00C54E9D" w:rsidRDefault="00C54E9D" w:rsidP="00C54E9D">
            <w:pPr>
              <w:pStyle w:val="Listenabsatz"/>
              <w:numPr>
                <w:ilvl w:val="0"/>
                <w:numId w:val="31"/>
              </w:numPr>
              <w:spacing w:before="80" w:after="80"/>
              <w:rPr>
                <w:rFonts w:ascii="Arial" w:hAnsi="Arial" w:cs="Arial"/>
                <w:bCs/>
                <w:color w:val="0B416C"/>
              </w:rPr>
            </w:pPr>
            <w:r w:rsidRPr="00C54E9D">
              <w:rPr>
                <w:rFonts w:ascii="Arial" w:hAnsi="Arial" w:cs="Arial"/>
                <w:bCs/>
                <w:color w:val="0B416C"/>
              </w:rPr>
              <w:t>Rauter J. Siemens-Autoren-Team: Planung durch Kooperation, Kapitel Informationsmarkt. München: Siemens AG; 1974.</w:t>
            </w:r>
          </w:p>
        </w:tc>
      </w:tr>
    </w:tbl>
    <w:p w14:paraId="2818F191" w14:textId="002F2D2B" w:rsidR="00090D8B" w:rsidRPr="00AA1A63" w:rsidRDefault="00BB1002" w:rsidP="00E05463">
      <w:pPr>
        <w:rPr>
          <w:rFonts w:ascii="Arial" w:hAnsi="Arial" w:cs="Arial"/>
        </w:rPr>
      </w:pPr>
      <w:bookmarkStart w:id="0" w:name="_GoBack"/>
      <w:bookmarkEnd w:id="0"/>
    </w:p>
    <w:sectPr w:rsidR="00090D8B" w:rsidRPr="00AA1A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42C1" w14:textId="77777777" w:rsidR="00BB1002" w:rsidRDefault="00BB1002" w:rsidP="007438DB">
      <w:pPr>
        <w:spacing w:after="0" w:line="240" w:lineRule="auto"/>
      </w:pPr>
      <w:r>
        <w:separator/>
      </w:r>
    </w:p>
  </w:endnote>
  <w:endnote w:type="continuationSeparator" w:id="0">
    <w:p w14:paraId="2A8F9EDD" w14:textId="77777777" w:rsidR="00BB1002" w:rsidRDefault="00BB1002" w:rsidP="007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C90" w14:textId="69ADEC4D" w:rsidR="007438DB" w:rsidRDefault="007438D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04F37CA" wp14:editId="0ADA2080">
          <wp:simplePos x="0" y="0"/>
          <wp:positionH relativeFrom="margin">
            <wp:posOffset>-914400</wp:posOffset>
          </wp:positionH>
          <wp:positionV relativeFrom="margin">
            <wp:posOffset>9555480</wp:posOffset>
          </wp:positionV>
          <wp:extent cx="8593455" cy="215900"/>
          <wp:effectExtent l="0" t="0" r="0" b="0"/>
          <wp:wrapSquare wrapText="bothSides"/>
          <wp:docPr id="90" name="Grafik 90" descr="C:\Users\paulsen\Desktop\Eubeko letter head bottom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" descr="C:\Users\paulsen\Desktop\Eubeko letter head bottom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934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7572" w14:textId="77777777" w:rsidR="00BB1002" w:rsidRDefault="00BB1002" w:rsidP="007438DB">
      <w:pPr>
        <w:spacing w:after="0" w:line="240" w:lineRule="auto"/>
      </w:pPr>
      <w:r>
        <w:separator/>
      </w:r>
    </w:p>
  </w:footnote>
  <w:footnote w:type="continuationSeparator" w:id="0">
    <w:p w14:paraId="635D2368" w14:textId="77777777" w:rsidR="00BB1002" w:rsidRDefault="00BB1002" w:rsidP="0074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3BD1" w14:textId="307D73DD" w:rsidR="007438DB" w:rsidRDefault="007438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D2A426" wp14:editId="0E97259C">
          <wp:simplePos x="0" y="0"/>
          <wp:positionH relativeFrom="margin">
            <wp:posOffset>-914400</wp:posOffset>
          </wp:positionH>
          <wp:positionV relativeFrom="margin">
            <wp:posOffset>-887095</wp:posOffset>
          </wp:positionV>
          <wp:extent cx="8178165" cy="227330"/>
          <wp:effectExtent l="0" t="0" r="0" b="1270"/>
          <wp:wrapSquare wrapText="bothSides"/>
          <wp:docPr id="89" name="Grafik 24" descr="C:\Users\paulsen\Desktop\Eubeko letter head Top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paulsen\Desktop\Eubeko letter head Top lin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17816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953"/>
    <w:multiLevelType w:val="hybridMultilevel"/>
    <w:tmpl w:val="7E54BB0C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7249"/>
    <w:multiLevelType w:val="hybridMultilevel"/>
    <w:tmpl w:val="1DAC8FD4"/>
    <w:lvl w:ilvl="0" w:tplc="24AC52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E566E"/>
    <w:multiLevelType w:val="hybridMultilevel"/>
    <w:tmpl w:val="EC88C452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43B"/>
    <w:multiLevelType w:val="hybridMultilevel"/>
    <w:tmpl w:val="35207074"/>
    <w:lvl w:ilvl="0" w:tplc="9EF6B5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E4102"/>
    <w:multiLevelType w:val="hybridMultilevel"/>
    <w:tmpl w:val="6B643426"/>
    <w:lvl w:ilvl="0" w:tplc="E18AFB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2C9"/>
    <w:multiLevelType w:val="hybridMultilevel"/>
    <w:tmpl w:val="9612AE4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C7860"/>
    <w:multiLevelType w:val="hybridMultilevel"/>
    <w:tmpl w:val="00AC1F2E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41001"/>
    <w:multiLevelType w:val="hybridMultilevel"/>
    <w:tmpl w:val="E92018A2"/>
    <w:lvl w:ilvl="0" w:tplc="65B68D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E50F9"/>
    <w:multiLevelType w:val="hybridMultilevel"/>
    <w:tmpl w:val="9E28E294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61C09"/>
    <w:multiLevelType w:val="hybridMultilevel"/>
    <w:tmpl w:val="D652C264"/>
    <w:lvl w:ilvl="0" w:tplc="2D48694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6150FA"/>
    <w:multiLevelType w:val="hybridMultilevel"/>
    <w:tmpl w:val="EBDE20F0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7381C"/>
    <w:multiLevelType w:val="hybridMultilevel"/>
    <w:tmpl w:val="C1789E5C"/>
    <w:lvl w:ilvl="0" w:tplc="A9DA87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0F56"/>
    <w:multiLevelType w:val="hybridMultilevel"/>
    <w:tmpl w:val="0BAC1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712F2"/>
    <w:multiLevelType w:val="hybridMultilevel"/>
    <w:tmpl w:val="F7702C7E"/>
    <w:lvl w:ilvl="0" w:tplc="493040F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73A44"/>
    <w:multiLevelType w:val="hybridMultilevel"/>
    <w:tmpl w:val="F6C817FA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921E3"/>
    <w:multiLevelType w:val="hybridMultilevel"/>
    <w:tmpl w:val="92D6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5CE6"/>
    <w:multiLevelType w:val="hybridMultilevel"/>
    <w:tmpl w:val="3D3A5734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50CDB"/>
    <w:multiLevelType w:val="hybridMultilevel"/>
    <w:tmpl w:val="B5062E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6363"/>
    <w:multiLevelType w:val="hybridMultilevel"/>
    <w:tmpl w:val="60366C24"/>
    <w:lvl w:ilvl="0" w:tplc="274C068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520E0"/>
    <w:multiLevelType w:val="hybridMultilevel"/>
    <w:tmpl w:val="B8AC4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5157B"/>
    <w:multiLevelType w:val="hybridMultilevel"/>
    <w:tmpl w:val="99EA4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B0122"/>
    <w:multiLevelType w:val="hybridMultilevel"/>
    <w:tmpl w:val="54CC6EE6"/>
    <w:lvl w:ilvl="0" w:tplc="D51AC5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201A5"/>
    <w:multiLevelType w:val="hybridMultilevel"/>
    <w:tmpl w:val="E61ED25A"/>
    <w:lvl w:ilvl="0" w:tplc="59847F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F0EC7"/>
    <w:multiLevelType w:val="hybridMultilevel"/>
    <w:tmpl w:val="4978FB9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6584F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354E2"/>
    <w:multiLevelType w:val="hybridMultilevel"/>
    <w:tmpl w:val="6C6AB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47F27"/>
    <w:multiLevelType w:val="hybridMultilevel"/>
    <w:tmpl w:val="57DAAE70"/>
    <w:lvl w:ilvl="0" w:tplc="A800879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EF1"/>
    <w:multiLevelType w:val="hybridMultilevel"/>
    <w:tmpl w:val="F71EDA50"/>
    <w:lvl w:ilvl="0" w:tplc="B0CCED5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0020"/>
    <w:multiLevelType w:val="hybridMultilevel"/>
    <w:tmpl w:val="4CC6C092"/>
    <w:lvl w:ilvl="0" w:tplc="6A524E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075E9D"/>
    <w:multiLevelType w:val="hybridMultilevel"/>
    <w:tmpl w:val="58BC9A26"/>
    <w:lvl w:ilvl="0" w:tplc="2E48040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9106E"/>
    <w:multiLevelType w:val="hybridMultilevel"/>
    <w:tmpl w:val="83BAF07A"/>
    <w:lvl w:ilvl="0" w:tplc="25C8D0C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A330F3"/>
    <w:multiLevelType w:val="hybridMultilevel"/>
    <w:tmpl w:val="73DC4B96"/>
    <w:lvl w:ilvl="0" w:tplc="0DF84B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B3EF4"/>
    <w:multiLevelType w:val="hybridMultilevel"/>
    <w:tmpl w:val="D93690C4"/>
    <w:lvl w:ilvl="0" w:tplc="54B6425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7"/>
  </w:num>
  <w:num w:numId="5">
    <w:abstractNumId w:val="26"/>
  </w:num>
  <w:num w:numId="6">
    <w:abstractNumId w:val="21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14"/>
  </w:num>
  <w:num w:numId="12">
    <w:abstractNumId w:val="7"/>
  </w:num>
  <w:num w:numId="13">
    <w:abstractNumId w:val="28"/>
  </w:num>
  <w:num w:numId="14">
    <w:abstractNumId w:val="24"/>
  </w:num>
  <w:num w:numId="15">
    <w:abstractNumId w:val="9"/>
  </w:num>
  <w:num w:numId="16">
    <w:abstractNumId w:val="32"/>
  </w:num>
  <w:num w:numId="17">
    <w:abstractNumId w:val="29"/>
  </w:num>
  <w:num w:numId="18">
    <w:abstractNumId w:val="11"/>
  </w:num>
  <w:num w:numId="19">
    <w:abstractNumId w:val="1"/>
  </w:num>
  <w:num w:numId="20">
    <w:abstractNumId w:val="16"/>
  </w:num>
  <w:num w:numId="21">
    <w:abstractNumId w:val="10"/>
  </w:num>
  <w:num w:numId="22">
    <w:abstractNumId w:val="13"/>
  </w:num>
  <w:num w:numId="23">
    <w:abstractNumId w:val="30"/>
  </w:num>
  <w:num w:numId="24">
    <w:abstractNumId w:val="0"/>
  </w:num>
  <w:num w:numId="25">
    <w:abstractNumId w:val="8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3MzIwMjM3NTFW0lEKTi0uzszPAykwqgUALrJiYiwAAAA="/>
  </w:docVars>
  <w:rsids>
    <w:rsidRoot w:val="00CB195D"/>
    <w:rsid w:val="00000A45"/>
    <w:rsid w:val="00037991"/>
    <w:rsid w:val="000435F0"/>
    <w:rsid w:val="00054783"/>
    <w:rsid w:val="00090748"/>
    <w:rsid w:val="000A4488"/>
    <w:rsid w:val="000D6185"/>
    <w:rsid w:val="000D6601"/>
    <w:rsid w:val="001176DE"/>
    <w:rsid w:val="0012004D"/>
    <w:rsid w:val="001473FF"/>
    <w:rsid w:val="00197AF2"/>
    <w:rsid w:val="001A43CA"/>
    <w:rsid w:val="001C6416"/>
    <w:rsid w:val="00201D57"/>
    <w:rsid w:val="002328D7"/>
    <w:rsid w:val="00291E1E"/>
    <w:rsid w:val="002D5A16"/>
    <w:rsid w:val="002E7D2D"/>
    <w:rsid w:val="0031124B"/>
    <w:rsid w:val="00326C60"/>
    <w:rsid w:val="00357A5F"/>
    <w:rsid w:val="003A1806"/>
    <w:rsid w:val="003C52A4"/>
    <w:rsid w:val="003D2508"/>
    <w:rsid w:val="003D3795"/>
    <w:rsid w:val="004449AC"/>
    <w:rsid w:val="0044511C"/>
    <w:rsid w:val="00457C6A"/>
    <w:rsid w:val="00465079"/>
    <w:rsid w:val="004B4E29"/>
    <w:rsid w:val="005063A5"/>
    <w:rsid w:val="0052271A"/>
    <w:rsid w:val="00547C52"/>
    <w:rsid w:val="005F5EB0"/>
    <w:rsid w:val="00652430"/>
    <w:rsid w:val="006763FA"/>
    <w:rsid w:val="006A3316"/>
    <w:rsid w:val="006A5ED8"/>
    <w:rsid w:val="006C03B6"/>
    <w:rsid w:val="006D6E2E"/>
    <w:rsid w:val="006F4EB0"/>
    <w:rsid w:val="006F6950"/>
    <w:rsid w:val="007438DB"/>
    <w:rsid w:val="007832FA"/>
    <w:rsid w:val="0080271C"/>
    <w:rsid w:val="00843CD6"/>
    <w:rsid w:val="00847DA7"/>
    <w:rsid w:val="008561F4"/>
    <w:rsid w:val="0086064D"/>
    <w:rsid w:val="00890D72"/>
    <w:rsid w:val="00905A43"/>
    <w:rsid w:val="009C15BE"/>
    <w:rsid w:val="009E4C48"/>
    <w:rsid w:val="00A62133"/>
    <w:rsid w:val="00AA1A63"/>
    <w:rsid w:val="00AD119B"/>
    <w:rsid w:val="00B07D1A"/>
    <w:rsid w:val="00BB1002"/>
    <w:rsid w:val="00C40CE6"/>
    <w:rsid w:val="00C54E9D"/>
    <w:rsid w:val="00C65319"/>
    <w:rsid w:val="00C97188"/>
    <w:rsid w:val="00CA22B9"/>
    <w:rsid w:val="00CB195D"/>
    <w:rsid w:val="00CC4D3E"/>
    <w:rsid w:val="00CE4177"/>
    <w:rsid w:val="00D17C34"/>
    <w:rsid w:val="00D77C12"/>
    <w:rsid w:val="00DA34C1"/>
    <w:rsid w:val="00DC3F1B"/>
    <w:rsid w:val="00DF25D9"/>
    <w:rsid w:val="00E05463"/>
    <w:rsid w:val="00E14346"/>
    <w:rsid w:val="00E45FC5"/>
    <w:rsid w:val="00E808DE"/>
    <w:rsid w:val="00E8536A"/>
    <w:rsid w:val="00ED228B"/>
    <w:rsid w:val="00EF331A"/>
    <w:rsid w:val="00F77D4C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45BC"/>
  <w15:chartTrackingRefBased/>
  <w15:docId w15:val="{0D754DB5-50D2-41F5-8011-4F28AF4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63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44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4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8DB"/>
  </w:style>
  <w:style w:type="paragraph" w:styleId="Fuzeile">
    <w:name w:val="footer"/>
    <w:basedOn w:val="Standard"/>
    <w:link w:val="FuzeileZchn"/>
    <w:uiPriority w:val="99"/>
    <w:unhideWhenUsed/>
    <w:rsid w:val="0074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Müller</dc:creator>
  <cp:keywords/>
  <dc:description/>
  <cp:lastModifiedBy>Christina Müller</cp:lastModifiedBy>
  <cp:revision>2</cp:revision>
  <dcterms:created xsi:type="dcterms:W3CDTF">2022-09-06T12:36:00Z</dcterms:created>
  <dcterms:modified xsi:type="dcterms:W3CDTF">2022-09-06T12:36:00Z</dcterms:modified>
</cp:coreProperties>
</file>