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78" w:type="dxa"/>
        <w:tblLayout w:type="fixed"/>
        <w:tblLook w:val="04A0" w:firstRow="1" w:lastRow="0" w:firstColumn="1" w:lastColumn="0" w:noHBand="0" w:noVBand="1"/>
      </w:tblPr>
      <w:tblGrid>
        <w:gridCol w:w="9278"/>
      </w:tblGrid>
      <w:tr w:rsidR="00E808DE" w:rsidRPr="00E808DE" w14:paraId="27F74E89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9AD9EA"/>
            <w:vAlign w:val="center"/>
          </w:tcPr>
          <w:p w14:paraId="24994BA2" w14:textId="52B4F440" w:rsidR="00E808DE" w:rsidRPr="00E808DE" w:rsidRDefault="00F77D4C" w:rsidP="00077F12">
            <w:pPr>
              <w:spacing w:after="80"/>
              <w:rPr>
                <w:rFonts w:ascii="Arial" w:hAnsi="Arial" w:cs="Arial"/>
                <w:color w:val="0B416C"/>
              </w:rPr>
            </w:pPr>
            <w:r>
              <w:rPr>
                <w:rFonts w:ascii="Arial" w:hAnsi="Arial" w:cs="Arial"/>
                <w:b/>
                <w:color w:val="0B416C"/>
                <w:sz w:val="24"/>
              </w:rPr>
              <w:t xml:space="preserve">Steckbrief: </w:t>
            </w:r>
            <w:proofErr w:type="spellStart"/>
            <w:r w:rsidR="00077F12">
              <w:rPr>
                <w:rFonts w:ascii="Arial" w:hAnsi="Arial" w:cs="Arial"/>
                <w:b/>
                <w:color w:val="0B416C"/>
                <w:sz w:val="24"/>
              </w:rPr>
              <w:t>Planning</w:t>
            </w:r>
            <w:proofErr w:type="spellEnd"/>
            <w:r w:rsidR="00077F12">
              <w:rPr>
                <w:rFonts w:ascii="Arial" w:hAnsi="Arial" w:cs="Arial"/>
                <w:b/>
                <w:color w:val="0B416C"/>
                <w:sz w:val="24"/>
              </w:rPr>
              <w:t xml:space="preserve"> </w:t>
            </w:r>
            <w:proofErr w:type="spellStart"/>
            <w:r w:rsidR="00077F12">
              <w:rPr>
                <w:rFonts w:ascii="Arial" w:hAnsi="Arial" w:cs="Arial"/>
                <w:b/>
                <w:color w:val="0B416C"/>
                <w:sz w:val="24"/>
              </w:rPr>
              <w:t>for</w:t>
            </w:r>
            <w:proofErr w:type="spellEnd"/>
            <w:r w:rsidR="00077F12">
              <w:rPr>
                <w:rFonts w:ascii="Arial" w:hAnsi="Arial" w:cs="Arial"/>
                <w:b/>
                <w:color w:val="0B416C"/>
                <w:sz w:val="24"/>
              </w:rPr>
              <w:t xml:space="preserve"> Real</w:t>
            </w:r>
          </w:p>
        </w:tc>
      </w:tr>
      <w:tr w:rsidR="00037991" w:rsidRPr="00E808DE" w14:paraId="274909BE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71113E58" w14:textId="77777777" w:rsidR="00037991" w:rsidRDefault="00077F12" w:rsidP="003D3795">
            <w:pPr>
              <w:spacing w:before="80" w:after="80" w:line="259" w:lineRule="auto"/>
              <w:rPr>
                <w:rFonts w:ascii="Arial" w:hAnsi="Arial" w:cs="Arial"/>
                <w:b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Ziel:</w:t>
            </w:r>
          </w:p>
          <w:p w14:paraId="3F7F3C99" w14:textId="77777777" w:rsidR="00077F12" w:rsidRDefault="00077F12" w:rsidP="00077F12">
            <w:pPr>
              <w:pStyle w:val="Listenabsatz"/>
              <w:numPr>
                <w:ilvl w:val="0"/>
                <w:numId w:val="33"/>
              </w:numPr>
              <w:spacing w:before="80" w:after="80"/>
              <w:rPr>
                <w:rFonts w:ascii="Arial" w:hAnsi="Arial" w:cs="Arial"/>
                <w:color w:val="0B416C"/>
              </w:rPr>
            </w:pPr>
            <w:r>
              <w:rPr>
                <w:rFonts w:ascii="Arial" w:hAnsi="Arial" w:cs="Arial"/>
                <w:color w:val="0B416C"/>
              </w:rPr>
              <w:t>Mobilisierung der Menschen vor Ort für ihren Ort</w:t>
            </w:r>
          </w:p>
          <w:p w14:paraId="449E5EA6" w14:textId="77777777" w:rsidR="00077F12" w:rsidRDefault="00077F12" w:rsidP="00077F12">
            <w:pPr>
              <w:pStyle w:val="Listenabsatz"/>
              <w:numPr>
                <w:ilvl w:val="0"/>
                <w:numId w:val="33"/>
              </w:numPr>
              <w:spacing w:before="80" w:after="80"/>
              <w:rPr>
                <w:rFonts w:ascii="Arial" w:hAnsi="Arial" w:cs="Arial"/>
                <w:color w:val="0B416C"/>
              </w:rPr>
            </w:pPr>
            <w:r>
              <w:rPr>
                <w:rFonts w:ascii="Arial" w:hAnsi="Arial" w:cs="Arial"/>
                <w:color w:val="0B416C"/>
              </w:rPr>
              <w:t>Förderung von Kooperation, Zusammenarbeit und Gemeinwesensentwicklung</w:t>
            </w:r>
          </w:p>
          <w:p w14:paraId="0F5B3A5C" w14:textId="77777777" w:rsidR="00077F12" w:rsidRDefault="00077F12" w:rsidP="00077F12">
            <w:pPr>
              <w:pStyle w:val="Listenabsatz"/>
              <w:numPr>
                <w:ilvl w:val="0"/>
                <w:numId w:val="33"/>
              </w:numPr>
              <w:spacing w:before="80" w:after="80"/>
              <w:rPr>
                <w:rFonts w:ascii="Arial" w:hAnsi="Arial" w:cs="Arial"/>
                <w:color w:val="0B416C"/>
              </w:rPr>
            </w:pPr>
            <w:r>
              <w:rPr>
                <w:rFonts w:ascii="Arial" w:hAnsi="Arial" w:cs="Arial"/>
                <w:color w:val="0B416C"/>
              </w:rPr>
              <w:t>Ermittlung von Defiziten und Ressourcen</w:t>
            </w:r>
          </w:p>
          <w:p w14:paraId="09FC189E" w14:textId="0AC4FFDA" w:rsidR="00077F12" w:rsidRPr="00077F12" w:rsidRDefault="00077F12" w:rsidP="00077F12">
            <w:pPr>
              <w:pStyle w:val="Listenabsatz"/>
              <w:numPr>
                <w:ilvl w:val="0"/>
                <w:numId w:val="33"/>
              </w:numPr>
              <w:spacing w:before="80" w:after="80"/>
              <w:rPr>
                <w:rFonts w:ascii="Arial" w:hAnsi="Arial" w:cs="Arial"/>
                <w:color w:val="0B416C"/>
              </w:rPr>
            </w:pPr>
            <w:r>
              <w:rPr>
                <w:rFonts w:ascii="Arial" w:hAnsi="Arial" w:cs="Arial"/>
                <w:color w:val="0B416C"/>
              </w:rPr>
              <w:t>Aufbau von Projekten</w:t>
            </w:r>
          </w:p>
        </w:tc>
      </w:tr>
      <w:tr w:rsidR="008561F4" w:rsidRPr="00E808DE" w14:paraId="36274A91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04E47D9" w14:textId="0D9678F5" w:rsidR="008561F4" w:rsidRPr="008561F4" w:rsidRDefault="008561F4" w:rsidP="00077F12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Gruppengröße:</w:t>
            </w:r>
            <w:r w:rsidR="003D3795">
              <w:rPr>
                <w:rFonts w:ascii="Arial" w:hAnsi="Arial" w:cs="Arial"/>
                <w:bCs/>
                <w:color w:val="0B416C"/>
              </w:rPr>
              <w:t xml:space="preserve"> </w:t>
            </w:r>
            <w:r w:rsidR="00077F12">
              <w:rPr>
                <w:rFonts w:ascii="Arial" w:hAnsi="Arial" w:cs="Arial"/>
                <w:bCs/>
                <w:color w:val="0B416C"/>
              </w:rPr>
              <w:t>unbegrenzt</w:t>
            </w:r>
          </w:p>
        </w:tc>
      </w:tr>
      <w:tr w:rsidR="008561F4" w:rsidRPr="00E808DE" w14:paraId="16AF6253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08328F48" w14:textId="2FBC0584" w:rsidR="008561F4" w:rsidRPr="008561F4" w:rsidRDefault="008561F4" w:rsidP="003D3795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Dauer:</w:t>
            </w:r>
            <w:r w:rsidRPr="008561F4">
              <w:rPr>
                <w:rFonts w:ascii="Arial" w:hAnsi="Arial" w:cs="Arial"/>
                <w:bCs/>
                <w:color w:val="0B416C"/>
              </w:rPr>
              <w:t xml:space="preserve"> </w:t>
            </w:r>
            <w:r w:rsidR="00077F12">
              <w:rPr>
                <w:rFonts w:ascii="Arial" w:hAnsi="Arial" w:cs="Arial"/>
                <w:bCs/>
                <w:color w:val="0B416C"/>
              </w:rPr>
              <w:t>mehrere Veranstaltungen über mehrere Wochen</w:t>
            </w:r>
          </w:p>
        </w:tc>
      </w:tr>
      <w:tr w:rsidR="008561F4" w:rsidRPr="00E808DE" w14:paraId="26563E7A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64BF9F7C" w14:textId="49A6A416" w:rsidR="008561F4" w:rsidRPr="008561F4" w:rsidRDefault="008561F4" w:rsidP="003D3795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Zeitpunkt:</w:t>
            </w:r>
            <w:r w:rsidRPr="008561F4">
              <w:rPr>
                <w:rFonts w:ascii="Arial" w:hAnsi="Arial" w:cs="Arial"/>
                <w:bCs/>
                <w:color w:val="0B416C"/>
              </w:rPr>
              <w:t xml:space="preserve"> </w:t>
            </w:r>
            <w:r w:rsidR="00077F12">
              <w:rPr>
                <w:rFonts w:ascii="Arial" w:hAnsi="Arial" w:cs="Arial"/>
                <w:bCs/>
                <w:color w:val="0B416C"/>
              </w:rPr>
              <w:t>Auftakt, Projektdefinition</w:t>
            </w:r>
          </w:p>
        </w:tc>
      </w:tr>
      <w:tr w:rsidR="008561F4" w:rsidRPr="00E808DE" w14:paraId="17538A75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1BB9437" w14:textId="77777777" w:rsidR="008561F4" w:rsidRPr="008561F4" w:rsidRDefault="008561F4" w:rsidP="008561F4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Kurzbeschreibung:</w:t>
            </w:r>
          </w:p>
          <w:p w14:paraId="2C8221B3" w14:textId="5D1B0813" w:rsidR="008561F4" w:rsidRPr="008561F4" w:rsidRDefault="00077F12" w:rsidP="00077F12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proofErr w:type="spellStart"/>
            <w:r w:rsidRPr="00077F12">
              <w:rPr>
                <w:rFonts w:ascii="Arial" w:hAnsi="Arial" w:cs="Arial"/>
                <w:bCs/>
                <w:color w:val="0B416C"/>
              </w:rPr>
              <w:t>Planning</w:t>
            </w:r>
            <w:proofErr w:type="spellEnd"/>
            <w:r w:rsidRPr="00077F12">
              <w:rPr>
                <w:rFonts w:ascii="Arial" w:hAnsi="Arial" w:cs="Arial"/>
                <w:bCs/>
                <w:color w:val="0B416C"/>
              </w:rPr>
              <w:t xml:space="preserve"> </w:t>
            </w:r>
            <w:proofErr w:type="spellStart"/>
            <w:r w:rsidRPr="00077F12">
              <w:rPr>
                <w:rFonts w:ascii="Arial" w:hAnsi="Arial" w:cs="Arial"/>
                <w:bCs/>
                <w:color w:val="0B416C"/>
              </w:rPr>
              <w:t>for</w:t>
            </w:r>
            <w:proofErr w:type="spellEnd"/>
            <w:r w:rsidRPr="00077F12">
              <w:rPr>
                <w:rFonts w:ascii="Arial" w:hAnsi="Arial" w:cs="Arial"/>
                <w:bCs/>
                <w:color w:val="0B416C"/>
              </w:rPr>
              <w:t xml:space="preserve"> Real ist ein </w:t>
            </w:r>
            <w:proofErr w:type="spellStart"/>
            <w:r w:rsidRPr="00077F12">
              <w:rPr>
                <w:rFonts w:ascii="Arial" w:hAnsi="Arial" w:cs="Arial"/>
                <w:bCs/>
                <w:color w:val="0B416C"/>
              </w:rPr>
              <w:t>gemeinwesenorientiertes</w:t>
            </w:r>
            <w:proofErr w:type="spellEnd"/>
            <w:r w:rsidRPr="00077F12">
              <w:rPr>
                <w:rFonts w:ascii="Arial" w:hAnsi="Arial" w:cs="Arial"/>
                <w:bCs/>
                <w:color w:val="0B416C"/>
              </w:rPr>
              <w:t xml:space="preserve"> und mobilisieren</w:t>
            </w:r>
            <w:r>
              <w:rPr>
                <w:rFonts w:ascii="Arial" w:hAnsi="Arial" w:cs="Arial"/>
                <w:bCs/>
                <w:color w:val="0B416C"/>
              </w:rPr>
              <w:t xml:space="preserve">des Planungsverfahren nach dem </w:t>
            </w:r>
            <w:r w:rsidRPr="00077F12">
              <w:rPr>
                <w:rFonts w:ascii="Arial" w:hAnsi="Arial" w:cs="Arial"/>
                <w:bCs/>
                <w:color w:val="0B416C"/>
              </w:rPr>
              <w:t>Motto: „Nehmen wir unseren Ort in die eigenen Hände“. Es wird</w:t>
            </w:r>
            <w:r>
              <w:rPr>
                <w:rFonts w:ascii="Arial" w:hAnsi="Arial" w:cs="Arial"/>
                <w:bCs/>
                <w:color w:val="0B416C"/>
              </w:rPr>
              <w:t xml:space="preserve"> versucht, Kommunikationsschwie</w:t>
            </w:r>
            <w:r w:rsidRPr="00077F12">
              <w:rPr>
                <w:rFonts w:ascii="Arial" w:hAnsi="Arial" w:cs="Arial"/>
                <w:bCs/>
                <w:color w:val="0B416C"/>
              </w:rPr>
              <w:t xml:space="preserve">rigkeiten </w:t>
            </w:r>
            <w:r>
              <w:rPr>
                <w:rFonts w:ascii="Arial" w:hAnsi="Arial" w:cs="Arial"/>
                <w:bCs/>
                <w:color w:val="0B416C"/>
              </w:rPr>
              <w:t>unter</w:t>
            </w:r>
            <w:r w:rsidRPr="00077F12">
              <w:rPr>
                <w:rFonts w:ascii="Arial" w:hAnsi="Arial" w:cs="Arial"/>
                <w:bCs/>
                <w:color w:val="0B416C"/>
              </w:rPr>
              <w:t xml:space="preserve"> unterschiedlichen Betroffenen zu verringern, vorhand</w:t>
            </w:r>
            <w:r>
              <w:rPr>
                <w:rFonts w:ascii="Arial" w:hAnsi="Arial" w:cs="Arial"/>
                <w:bCs/>
                <w:color w:val="0B416C"/>
              </w:rPr>
              <w:t xml:space="preserve">ene Potenziale, Ressourcen und </w:t>
            </w:r>
            <w:r w:rsidRPr="00077F12">
              <w:rPr>
                <w:rFonts w:ascii="Arial" w:hAnsi="Arial" w:cs="Arial"/>
                <w:bCs/>
                <w:color w:val="0B416C"/>
              </w:rPr>
              <w:t xml:space="preserve">Defizite zu entdecken und eine Atmosphäre gemeinsamen Handelns </w:t>
            </w:r>
            <w:r>
              <w:rPr>
                <w:rFonts w:ascii="Arial" w:hAnsi="Arial" w:cs="Arial"/>
                <w:bCs/>
                <w:color w:val="0B416C"/>
              </w:rPr>
              <w:t xml:space="preserve">zwischen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B416C"/>
              </w:rPr>
              <w:t>Nachbar:innen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B416C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B416C"/>
              </w:rPr>
              <w:t>Expert:</w:t>
            </w:r>
            <w:r w:rsidRPr="00077F12">
              <w:rPr>
                <w:rFonts w:ascii="Arial" w:hAnsi="Arial" w:cs="Arial"/>
                <w:bCs/>
                <w:color w:val="0B416C"/>
              </w:rPr>
              <w:t>innen</w:t>
            </w:r>
            <w:proofErr w:type="spellEnd"/>
            <w:r w:rsidRPr="00077F12">
              <w:rPr>
                <w:rFonts w:ascii="Arial" w:hAnsi="Arial" w:cs="Arial"/>
                <w:bCs/>
                <w:color w:val="0B416C"/>
              </w:rPr>
              <w:t xml:space="preserve"> und lokalen Interessengruppen zu schaffen. Die Methode be</w:t>
            </w:r>
            <w:r>
              <w:rPr>
                <w:rFonts w:ascii="Arial" w:hAnsi="Arial" w:cs="Arial"/>
                <w:bCs/>
                <w:color w:val="0B416C"/>
              </w:rPr>
              <w:t xml:space="preserve">dient sich dazu beispielsweise </w:t>
            </w:r>
            <w:r w:rsidRPr="00077F12">
              <w:rPr>
                <w:rFonts w:ascii="Arial" w:hAnsi="Arial" w:cs="Arial"/>
                <w:bCs/>
                <w:color w:val="0B416C"/>
              </w:rPr>
              <w:t>des gemeinsamen Bauens eines dreidimensionalen Modells, ano</w:t>
            </w:r>
            <w:r>
              <w:rPr>
                <w:rFonts w:ascii="Arial" w:hAnsi="Arial" w:cs="Arial"/>
                <w:bCs/>
                <w:color w:val="0B416C"/>
              </w:rPr>
              <w:t xml:space="preserve">nymer Beiträge über Fragebögen </w:t>
            </w:r>
            <w:r w:rsidRPr="00077F12">
              <w:rPr>
                <w:rFonts w:ascii="Arial" w:hAnsi="Arial" w:cs="Arial"/>
                <w:bCs/>
                <w:color w:val="0B416C"/>
              </w:rPr>
              <w:t xml:space="preserve">und nonverbaler Kommunikation. Die Initiative für den </w:t>
            </w:r>
            <w:r>
              <w:rPr>
                <w:rFonts w:ascii="Arial" w:hAnsi="Arial" w:cs="Arial"/>
                <w:bCs/>
                <w:color w:val="0B416C"/>
              </w:rPr>
              <w:t xml:space="preserve">Prozess geht von lokalen </w:t>
            </w:r>
            <w:proofErr w:type="spellStart"/>
            <w:r>
              <w:rPr>
                <w:rFonts w:ascii="Arial" w:hAnsi="Arial" w:cs="Arial"/>
                <w:bCs/>
                <w:color w:val="0B416C"/>
              </w:rPr>
              <w:t>Akteur:innen</w:t>
            </w:r>
            <w:proofErr w:type="spellEnd"/>
            <w:r>
              <w:rPr>
                <w:rFonts w:ascii="Arial" w:hAnsi="Arial" w:cs="Arial"/>
                <w:bCs/>
                <w:color w:val="0B416C"/>
              </w:rPr>
              <w:t xml:space="preserve"> aus, </w:t>
            </w:r>
            <w:r w:rsidRPr="00077F12">
              <w:rPr>
                <w:rFonts w:ascii="Arial" w:hAnsi="Arial" w:cs="Arial"/>
                <w:bCs/>
                <w:color w:val="0B416C"/>
              </w:rPr>
              <w:t>wobei sich eine externe, fachliche Begleitung in der Praxis bewährt hat.</w:t>
            </w:r>
          </w:p>
        </w:tc>
      </w:tr>
      <w:tr w:rsidR="008561F4" w:rsidRPr="00E808DE" w14:paraId="12E91670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49AE683B" w14:textId="77777777" w:rsidR="008561F4" w:rsidRPr="008561F4" w:rsidRDefault="008561F4" w:rsidP="008561F4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Ablauf:</w:t>
            </w:r>
          </w:p>
          <w:p w14:paraId="2AE3AE39" w14:textId="76C5AEB1" w:rsidR="008561F4" w:rsidRPr="008561F4" w:rsidRDefault="00077F12" w:rsidP="008561F4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Initiative: Eine Gruppe von mindestens drei Personen wird aktiv, äußert öffentlich den Wunsch zur Veränderung eines Ortes und lädt zur Beteiligung ein.</w:t>
            </w:r>
          </w:p>
          <w:p w14:paraId="3CC7C01B" w14:textId="55C0FB31" w:rsidR="008561F4" w:rsidRDefault="00077F12" w:rsidP="008561F4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Modell: Gemeinsam wird als Arbeitsmittel ein dreidimensionales Modell des zu gestaltenden Orts gebaut.</w:t>
            </w:r>
          </w:p>
          <w:p w14:paraId="1C6BCF8D" w14:textId="77777777" w:rsidR="008561F4" w:rsidRDefault="00077F12" w:rsidP="003D3795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Präsentation: Das Modell wird öffentlich präsentiert; Kommentare, ergänzende Informationen etc. werden gesammelt.</w:t>
            </w:r>
          </w:p>
          <w:p w14:paraId="6E8DCA3D" w14:textId="77777777" w:rsidR="00077F12" w:rsidRDefault="00077F12" w:rsidP="003D3795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Wer kann was? Menschen werden aufgefordert, zu überlegen, welche Kenntnisse, Fähigkeiten und Interessen sie zum Projekt beitragen können, sowie eigene Bedürfnisse zur Umgestaltung zu formulieren.</w:t>
            </w:r>
          </w:p>
          <w:p w14:paraId="6A9AEFCB" w14:textId="77777777" w:rsidR="00077F12" w:rsidRDefault="00077F12" w:rsidP="003D3795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 xml:space="preserve">Ereignis-Veranstaltung: Farbige Vorschlagskarten, die für veränderungsrelevante Themen (z. B. Sport, Grünanlagen) stehen, werden von den Beteiligten am Modell platziert. Es entsteht ein Gesamtbild, das in Gesprächen vertieft wird. Externe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B416C"/>
              </w:rPr>
              <w:t>Expert:innen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B416C"/>
              </w:rPr>
              <w:t xml:space="preserve"> werden zu bestimmten Themen einbezogen.</w:t>
            </w:r>
          </w:p>
          <w:p w14:paraId="6F9A595D" w14:textId="77777777" w:rsidR="00077F12" w:rsidRDefault="00077F12" w:rsidP="003D3795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Aufbau von Arbeitsgruppen: Aus den Ergebnissen der Ereignis-Veranstaltung werden Handlungsansätze abgeleitet und dazu Arbeitsgruppen gebildet.</w:t>
            </w:r>
          </w:p>
          <w:p w14:paraId="1DACF02B" w14:textId="77777777" w:rsidR="00077F12" w:rsidRDefault="00077F12" w:rsidP="003D3795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Prioritäten- und Zeitplanung</w:t>
            </w:r>
          </w:p>
          <w:p w14:paraId="127AFA82" w14:textId="17037DAF" w:rsidR="00077F12" w:rsidRPr="003D3795" w:rsidRDefault="00077F12" w:rsidP="003D3795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Umsetzung in einen Aktionsplan</w:t>
            </w:r>
          </w:p>
        </w:tc>
      </w:tr>
      <w:tr w:rsidR="008561F4" w:rsidRPr="00E808DE" w14:paraId="462123A0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48E1AC9" w14:textId="6E7BD2E6" w:rsidR="008561F4" w:rsidRPr="008561F4" w:rsidRDefault="008561F4" w:rsidP="008561F4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Aufwand für Durchführende</w:t>
            </w:r>
            <w:r w:rsidR="00AA1A63">
              <w:rPr>
                <w:rFonts w:ascii="Arial" w:hAnsi="Arial" w:cs="Arial"/>
                <w:b/>
                <w:bCs/>
                <w:color w:val="0B416C"/>
              </w:rPr>
              <w:t>:</w:t>
            </w:r>
          </w:p>
          <w:p w14:paraId="3AA670B4" w14:textId="7E2C7830" w:rsidR="008561F4" w:rsidRPr="008C6F8D" w:rsidRDefault="008C6F8D" w:rsidP="008C6F8D">
            <w:pPr>
              <w:pStyle w:val="Listenabsatz"/>
              <w:numPr>
                <w:ilvl w:val="0"/>
                <w:numId w:val="30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 xml:space="preserve">Zeit: Planung, </w:t>
            </w:r>
            <w:r>
              <w:rPr>
                <w:rFonts w:ascii="Arial" w:hAnsi="Arial" w:cs="Arial"/>
                <w:bCs/>
                <w:color w:val="0B416C"/>
              </w:rPr>
              <w:t>Nachbereitung und Weiterverfolgung des Aktionsplans kann einige Monate bis mehrere Jahre dauern, je nachdem, welche Entscheidungen aus dem Prozess folgen</w:t>
            </w:r>
            <w:bookmarkStart w:id="0" w:name="_GoBack"/>
            <w:bookmarkEnd w:id="0"/>
          </w:p>
          <w:p w14:paraId="1E3E8182" w14:textId="0F3449E2" w:rsidR="008561F4" w:rsidRPr="00AA1A63" w:rsidRDefault="008561F4" w:rsidP="00AA1A63">
            <w:pPr>
              <w:pStyle w:val="Listenabsatz"/>
              <w:numPr>
                <w:ilvl w:val="0"/>
                <w:numId w:val="29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 xml:space="preserve">Kosten: </w:t>
            </w:r>
            <w:r w:rsidR="008C6F8D">
              <w:rPr>
                <w:rFonts w:ascii="Arial" w:hAnsi="Arial" w:cs="Arial"/>
                <w:bCs/>
                <w:color w:val="0B416C"/>
              </w:rPr>
              <w:t>Raummiete für Veranstaltungen, Material, Personal (z. B. externe Moderation)</w:t>
            </w:r>
          </w:p>
          <w:p w14:paraId="6FB321B6" w14:textId="6E0893C0" w:rsidR="008561F4" w:rsidRPr="00AA1A63" w:rsidRDefault="008561F4" w:rsidP="003D3795">
            <w:pPr>
              <w:pStyle w:val="Listenabsatz"/>
              <w:numPr>
                <w:ilvl w:val="0"/>
                <w:numId w:val="29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 xml:space="preserve">Nutzen: </w:t>
            </w:r>
            <w:r w:rsidR="008C6F8D">
              <w:rPr>
                <w:rFonts w:ascii="Arial" w:hAnsi="Arial" w:cs="Arial"/>
                <w:bCs/>
                <w:color w:val="0B416C"/>
              </w:rPr>
              <w:t xml:space="preserve">Entscheidungen entsprechen den Prioritäten der </w:t>
            </w:r>
            <w:proofErr w:type="spellStart"/>
            <w:r w:rsidR="008C6F8D">
              <w:rPr>
                <w:rFonts w:ascii="Arial" w:hAnsi="Arial" w:cs="Arial"/>
                <w:bCs/>
                <w:color w:val="0B416C"/>
              </w:rPr>
              <w:t>Anwohner:innen</w:t>
            </w:r>
            <w:proofErr w:type="spellEnd"/>
            <w:r w:rsidR="008C6F8D">
              <w:rPr>
                <w:rFonts w:ascii="Arial" w:hAnsi="Arial" w:cs="Arial"/>
                <w:bCs/>
                <w:color w:val="0B416C"/>
              </w:rPr>
              <w:t xml:space="preserve"> und Betroffenen, Mobilisierung von Unterstützung auf der lokalen Ebene, lokale Entscheidung durch Einbeziehung der </w:t>
            </w:r>
            <w:proofErr w:type="spellStart"/>
            <w:r w:rsidR="008C6F8D">
              <w:rPr>
                <w:rFonts w:ascii="Arial" w:hAnsi="Arial" w:cs="Arial"/>
                <w:bCs/>
                <w:color w:val="0B416C"/>
              </w:rPr>
              <w:t>Bürger:innen</w:t>
            </w:r>
            <w:proofErr w:type="spellEnd"/>
            <w:r w:rsidR="008C6F8D">
              <w:rPr>
                <w:rFonts w:ascii="Arial" w:hAnsi="Arial" w:cs="Arial"/>
                <w:bCs/>
                <w:color w:val="0B416C"/>
              </w:rPr>
              <w:t>, Entwicklung einer gemeinsamen Zukunftsvision</w:t>
            </w:r>
          </w:p>
        </w:tc>
      </w:tr>
      <w:tr w:rsidR="00AA1A63" w:rsidRPr="00E808DE" w14:paraId="617528E5" w14:textId="77777777" w:rsidTr="00AA1A63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618189C8" w14:textId="0D10636E" w:rsidR="00AA1A63" w:rsidRPr="00AA1A63" w:rsidRDefault="00AA1A6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/>
                <w:bCs/>
                <w:color w:val="0B416C"/>
              </w:rPr>
              <w:lastRenderedPageBreak/>
              <w:t>Aufwand für Zielgruppe</w:t>
            </w:r>
            <w:r>
              <w:rPr>
                <w:rFonts w:ascii="Arial" w:hAnsi="Arial" w:cs="Arial"/>
                <w:b/>
                <w:bCs/>
                <w:color w:val="0B416C"/>
              </w:rPr>
              <w:t>:</w:t>
            </w:r>
          </w:p>
          <w:p w14:paraId="418FABCD" w14:textId="5CDC9C18" w:rsidR="00AA1A63" w:rsidRPr="00AA1A63" w:rsidRDefault="00AA1A63" w:rsidP="00AA1A63">
            <w:pPr>
              <w:pStyle w:val="Listenabsatz"/>
              <w:numPr>
                <w:ilvl w:val="0"/>
                <w:numId w:val="30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 xml:space="preserve">Zeit: </w:t>
            </w:r>
            <w:r w:rsidR="008C6F8D">
              <w:rPr>
                <w:rFonts w:ascii="Arial" w:hAnsi="Arial" w:cs="Arial"/>
                <w:bCs/>
                <w:color w:val="0B416C"/>
              </w:rPr>
              <w:t>Nachbereitung und Weiterverfolgung des Aktionsplans kann einige Monate bis mehrere Jahre dauern, je nachdem, welche Entscheidungen aus dem Prozess folgen</w:t>
            </w:r>
          </w:p>
          <w:p w14:paraId="11B65AF6" w14:textId="34321E41" w:rsidR="00AA1A63" w:rsidRPr="00AA1A63" w:rsidRDefault="00AA1A63" w:rsidP="00AA1A63">
            <w:pPr>
              <w:pStyle w:val="Listenabsatz"/>
              <w:numPr>
                <w:ilvl w:val="0"/>
                <w:numId w:val="30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proofErr w:type="spellStart"/>
            <w:r w:rsidRPr="00AA1A63">
              <w:rPr>
                <w:rFonts w:ascii="Arial" w:hAnsi="Arial" w:cs="Arial"/>
                <w:bCs/>
                <w:color w:val="0B416C"/>
              </w:rPr>
              <w:t>Niedrigschwelligkeit</w:t>
            </w:r>
            <w:proofErr w:type="spellEnd"/>
            <w:r w:rsidRPr="00AA1A63">
              <w:rPr>
                <w:rFonts w:ascii="Arial" w:hAnsi="Arial" w:cs="Arial"/>
                <w:bCs/>
                <w:color w:val="0B416C"/>
              </w:rPr>
              <w:t xml:space="preserve">: </w:t>
            </w:r>
            <w:r w:rsidR="008C6F8D">
              <w:rPr>
                <w:rFonts w:ascii="Arial" w:hAnsi="Arial" w:cs="Arial"/>
                <w:bCs/>
                <w:color w:val="0B416C"/>
              </w:rPr>
              <w:t xml:space="preserve">Initiation durch </w:t>
            </w:r>
            <w:proofErr w:type="spellStart"/>
            <w:proofErr w:type="gramStart"/>
            <w:r w:rsidR="008C6F8D">
              <w:rPr>
                <w:rFonts w:ascii="Arial" w:hAnsi="Arial" w:cs="Arial"/>
                <w:bCs/>
                <w:color w:val="0B416C"/>
              </w:rPr>
              <w:t>Bürger:innen</w:t>
            </w:r>
            <w:proofErr w:type="spellEnd"/>
            <w:proofErr w:type="gramEnd"/>
            <w:r w:rsidR="008C6F8D">
              <w:rPr>
                <w:rFonts w:ascii="Arial" w:hAnsi="Arial" w:cs="Arial"/>
                <w:bCs/>
                <w:color w:val="0B416C"/>
              </w:rPr>
              <w:t xml:space="preserve"> impliziert Bürgernähe</w:t>
            </w:r>
          </w:p>
          <w:p w14:paraId="748D07E7" w14:textId="7988A009" w:rsidR="00AA1A63" w:rsidRPr="00AA1A63" w:rsidRDefault="00AA1A63" w:rsidP="003D3795">
            <w:pPr>
              <w:pStyle w:val="Listenabsatz"/>
              <w:numPr>
                <w:ilvl w:val="0"/>
                <w:numId w:val="30"/>
              </w:num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 xml:space="preserve">Barrieren: </w:t>
            </w:r>
            <w:r w:rsidR="008C6F8D">
              <w:rPr>
                <w:rFonts w:ascii="Arial" w:hAnsi="Arial" w:cs="Arial"/>
                <w:bCs/>
                <w:color w:val="0B416C"/>
              </w:rPr>
              <w:t>Dauer kann ggf. schwer realisierbar sein</w:t>
            </w:r>
          </w:p>
        </w:tc>
      </w:tr>
      <w:tr w:rsidR="00AA1A63" w:rsidRPr="00E808DE" w14:paraId="488984FC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FD83547" w14:textId="77777777" w:rsidR="00AA1A63" w:rsidRPr="00AA1A63" w:rsidRDefault="00AA1A6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/>
                <w:bCs/>
                <w:color w:val="0B416C"/>
              </w:rPr>
              <w:t>Material:</w:t>
            </w:r>
          </w:p>
          <w:p w14:paraId="70C0C146" w14:textId="77777777" w:rsidR="008C6F8D" w:rsidRDefault="008C6F8D" w:rsidP="008C6F8D">
            <w:pPr>
              <w:pStyle w:val="Listenabsatz"/>
              <w:numPr>
                <w:ilvl w:val="0"/>
                <w:numId w:val="34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8C6F8D">
              <w:rPr>
                <w:rFonts w:ascii="Arial" w:hAnsi="Arial" w:cs="Arial"/>
                <w:bCs/>
                <w:color w:val="0B416C"/>
              </w:rPr>
              <w:t>Material für die Öffentlichkeitsarbeit und Nachbarschaftshilfebögen (Plakate, F</w:t>
            </w:r>
            <w:r>
              <w:rPr>
                <w:rFonts w:ascii="Arial" w:hAnsi="Arial" w:cs="Arial"/>
                <w:bCs/>
                <w:color w:val="0B416C"/>
              </w:rPr>
              <w:t>altblätter etc.)</w:t>
            </w:r>
          </w:p>
          <w:p w14:paraId="032C0C16" w14:textId="77777777" w:rsidR="008C6F8D" w:rsidRDefault="008C6F8D" w:rsidP="008C6F8D">
            <w:pPr>
              <w:pStyle w:val="Listenabsatz"/>
              <w:numPr>
                <w:ilvl w:val="0"/>
                <w:numId w:val="34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8C6F8D">
              <w:rPr>
                <w:rFonts w:ascii="Arial" w:hAnsi="Arial" w:cs="Arial"/>
                <w:bCs/>
                <w:color w:val="0B416C"/>
              </w:rPr>
              <w:t>Grundlagenplan des Orte</w:t>
            </w:r>
            <w:r>
              <w:rPr>
                <w:rFonts w:ascii="Arial" w:hAnsi="Arial" w:cs="Arial"/>
                <w:bCs/>
                <w:color w:val="0B416C"/>
              </w:rPr>
              <w:t xml:space="preserve">s, des Stadtteils oder </w:t>
            </w:r>
            <w:proofErr w:type="spellStart"/>
            <w:r>
              <w:rPr>
                <w:rFonts w:ascii="Arial" w:hAnsi="Arial" w:cs="Arial"/>
                <w:bCs/>
                <w:color w:val="0B416C"/>
              </w:rPr>
              <w:t>Gebäudes</w:t>
            </w:r>
          </w:p>
          <w:p w14:paraId="27CABF74" w14:textId="77777777" w:rsidR="008C6F8D" w:rsidRDefault="008C6F8D" w:rsidP="008C6F8D">
            <w:pPr>
              <w:pStyle w:val="Listenabsatz"/>
              <w:numPr>
                <w:ilvl w:val="0"/>
                <w:numId w:val="34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proofErr w:type="spellEnd"/>
            <w:r>
              <w:rPr>
                <w:rFonts w:ascii="Arial" w:hAnsi="Arial" w:cs="Arial"/>
                <w:bCs/>
                <w:color w:val="0B416C"/>
              </w:rPr>
              <w:t xml:space="preserve">Styroporplatten und </w:t>
            </w:r>
            <w:proofErr w:type="spellStart"/>
            <w:r>
              <w:rPr>
                <w:rFonts w:ascii="Arial" w:hAnsi="Arial" w:cs="Arial"/>
                <w:bCs/>
                <w:color w:val="0B416C"/>
              </w:rPr>
              <w:t>Pappe</w:t>
            </w:r>
          </w:p>
          <w:p w14:paraId="10E8B695" w14:textId="77777777" w:rsidR="008C6F8D" w:rsidRDefault="008C6F8D" w:rsidP="008C6F8D">
            <w:pPr>
              <w:pStyle w:val="Listenabsatz"/>
              <w:numPr>
                <w:ilvl w:val="0"/>
                <w:numId w:val="34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proofErr w:type="spellEnd"/>
            <w:r>
              <w:rPr>
                <w:rFonts w:ascii="Arial" w:hAnsi="Arial" w:cs="Arial"/>
                <w:bCs/>
                <w:color w:val="0B416C"/>
              </w:rPr>
              <w:t xml:space="preserve">Papier für die </w:t>
            </w:r>
            <w:proofErr w:type="spellStart"/>
            <w:r>
              <w:rPr>
                <w:rFonts w:ascii="Arial" w:hAnsi="Arial" w:cs="Arial"/>
                <w:bCs/>
                <w:color w:val="0B416C"/>
              </w:rPr>
              <w:t>Häuserschablonen</w:t>
            </w:r>
          </w:p>
          <w:p w14:paraId="45EF4DDA" w14:textId="77777777" w:rsidR="008C6F8D" w:rsidRDefault="008C6F8D" w:rsidP="008C6F8D">
            <w:pPr>
              <w:pStyle w:val="Listenabsatz"/>
              <w:numPr>
                <w:ilvl w:val="0"/>
                <w:numId w:val="34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proofErr w:type="spellEnd"/>
            <w:r w:rsidRPr="008C6F8D">
              <w:rPr>
                <w:rFonts w:ascii="Arial" w:hAnsi="Arial" w:cs="Arial"/>
                <w:bCs/>
                <w:color w:val="0B416C"/>
              </w:rPr>
              <w:t>Pinsel, Farbe, Farbstifte, Leim, Klebstoff, Klebeband, Sc</w:t>
            </w:r>
            <w:r>
              <w:rPr>
                <w:rFonts w:ascii="Arial" w:hAnsi="Arial" w:cs="Arial"/>
                <w:bCs/>
                <w:color w:val="0B416C"/>
              </w:rPr>
              <w:t xml:space="preserve">here für die Herstellung des </w:t>
            </w:r>
            <w:proofErr w:type="spellStart"/>
            <w:r>
              <w:rPr>
                <w:rFonts w:ascii="Arial" w:hAnsi="Arial" w:cs="Arial"/>
                <w:bCs/>
                <w:color w:val="0B416C"/>
              </w:rPr>
              <w:t>Modells</w:t>
            </w:r>
          </w:p>
          <w:p w14:paraId="2804C3D6" w14:textId="77777777" w:rsidR="008C6F8D" w:rsidRDefault="008C6F8D" w:rsidP="008C6F8D">
            <w:pPr>
              <w:pStyle w:val="Listenabsatz"/>
              <w:numPr>
                <w:ilvl w:val="0"/>
                <w:numId w:val="34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proofErr w:type="spellEnd"/>
            <w:r w:rsidRPr="008C6F8D">
              <w:rPr>
                <w:rFonts w:ascii="Arial" w:hAnsi="Arial" w:cs="Arial"/>
                <w:bCs/>
                <w:color w:val="0B416C"/>
              </w:rPr>
              <w:t>Papier (farbig) für d</w:t>
            </w:r>
            <w:r>
              <w:rPr>
                <w:rFonts w:ascii="Arial" w:hAnsi="Arial" w:cs="Arial"/>
                <w:bCs/>
                <w:color w:val="0B416C"/>
              </w:rPr>
              <w:t xml:space="preserve">ie </w:t>
            </w:r>
            <w:proofErr w:type="spellStart"/>
            <w:r>
              <w:rPr>
                <w:rFonts w:ascii="Arial" w:hAnsi="Arial" w:cs="Arial"/>
                <w:bCs/>
                <w:color w:val="0B416C"/>
              </w:rPr>
              <w:t>Vorschlagskarten</w:t>
            </w:r>
          </w:p>
          <w:p w14:paraId="14061613" w14:textId="0D78B471" w:rsidR="00AA1A63" w:rsidRPr="008C6F8D" w:rsidRDefault="008C6F8D" w:rsidP="008C6F8D">
            <w:pPr>
              <w:pStyle w:val="Listenabsatz"/>
              <w:numPr>
                <w:ilvl w:val="0"/>
                <w:numId w:val="34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proofErr w:type="spellEnd"/>
            <w:r w:rsidRPr="008C6F8D">
              <w:rPr>
                <w:rFonts w:ascii="Arial" w:hAnsi="Arial" w:cs="Arial"/>
                <w:bCs/>
                <w:color w:val="0B416C"/>
              </w:rPr>
              <w:t>Holzplatten, Holzböcke oder Tapeziertische zum Aufstelle</w:t>
            </w:r>
            <w:r>
              <w:rPr>
                <w:rFonts w:ascii="Arial" w:hAnsi="Arial" w:cs="Arial"/>
                <w:bCs/>
                <w:color w:val="0B416C"/>
              </w:rPr>
              <w:t>n des Modells an den verschiede</w:t>
            </w:r>
            <w:r w:rsidRPr="008C6F8D">
              <w:rPr>
                <w:rFonts w:ascii="Arial" w:hAnsi="Arial" w:cs="Arial"/>
                <w:bCs/>
                <w:color w:val="0B416C"/>
              </w:rPr>
              <w:t>nen Orten</w:t>
            </w:r>
          </w:p>
        </w:tc>
      </w:tr>
      <w:tr w:rsidR="00AA1A63" w:rsidRPr="00E808DE" w14:paraId="2CDB4082" w14:textId="77777777" w:rsidTr="00AA1A63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2C3C8DB8" w14:textId="77777777" w:rsidR="00AA1A63" w:rsidRDefault="00AA1A6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/>
                <w:bCs/>
                <w:color w:val="0B416C"/>
              </w:rPr>
              <w:t>Fazit:</w:t>
            </w:r>
          </w:p>
          <w:p w14:paraId="385B97CC" w14:textId="3B6489F4" w:rsidR="008C6F8D" w:rsidRPr="008C6F8D" w:rsidRDefault="008C6F8D" w:rsidP="008C6F8D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proofErr w:type="spellStart"/>
            <w:r w:rsidRPr="008C6F8D">
              <w:rPr>
                <w:rFonts w:ascii="Arial" w:hAnsi="Arial" w:cs="Arial"/>
                <w:bCs/>
                <w:color w:val="0B416C"/>
              </w:rPr>
              <w:t>Planning</w:t>
            </w:r>
            <w:proofErr w:type="spellEnd"/>
            <w:r w:rsidRPr="008C6F8D">
              <w:rPr>
                <w:rFonts w:ascii="Arial" w:hAnsi="Arial" w:cs="Arial"/>
                <w:bCs/>
                <w:color w:val="0B416C"/>
              </w:rPr>
              <w:t xml:space="preserve"> </w:t>
            </w:r>
            <w:proofErr w:type="spellStart"/>
            <w:r w:rsidRPr="008C6F8D">
              <w:rPr>
                <w:rFonts w:ascii="Arial" w:hAnsi="Arial" w:cs="Arial"/>
                <w:bCs/>
                <w:color w:val="0B416C"/>
              </w:rPr>
              <w:t>for</w:t>
            </w:r>
            <w:proofErr w:type="spellEnd"/>
            <w:r>
              <w:rPr>
                <w:rFonts w:ascii="Arial" w:hAnsi="Arial" w:cs="Arial"/>
                <w:bCs/>
                <w:color w:val="0B416C"/>
              </w:rPr>
              <w:t xml:space="preserve"> R</w:t>
            </w:r>
            <w:r w:rsidRPr="008C6F8D">
              <w:rPr>
                <w:rFonts w:ascii="Arial" w:hAnsi="Arial" w:cs="Arial"/>
                <w:bCs/>
                <w:color w:val="0B416C"/>
              </w:rPr>
              <w:t>eal ist sinnvoll einzusetzen, wenn Entscheidung</w:t>
            </w:r>
            <w:r>
              <w:rPr>
                <w:rFonts w:ascii="Arial" w:hAnsi="Arial" w:cs="Arial"/>
                <w:bCs/>
                <w:color w:val="0B416C"/>
              </w:rPr>
              <w:t xml:space="preserve">en den Prioritäten der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B416C"/>
              </w:rPr>
              <w:t>Anwohner:innen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B416C"/>
              </w:rPr>
              <w:t xml:space="preserve"> </w:t>
            </w:r>
            <w:r w:rsidRPr="008C6F8D">
              <w:rPr>
                <w:rFonts w:ascii="Arial" w:hAnsi="Arial" w:cs="Arial"/>
                <w:bCs/>
                <w:color w:val="0B416C"/>
              </w:rPr>
              <w:t>und Betroffenen entsprechen sollen, auf lokaler Ebene Unterstützun</w:t>
            </w:r>
            <w:r>
              <w:rPr>
                <w:rFonts w:ascii="Arial" w:hAnsi="Arial" w:cs="Arial"/>
                <w:bCs/>
                <w:color w:val="0B416C"/>
              </w:rPr>
              <w:t xml:space="preserve">g mobilisiert und Enthusiasmus </w:t>
            </w:r>
            <w:r w:rsidRPr="008C6F8D">
              <w:rPr>
                <w:rFonts w:ascii="Arial" w:hAnsi="Arial" w:cs="Arial"/>
                <w:bCs/>
                <w:color w:val="0B416C"/>
              </w:rPr>
              <w:t>für ein Projekt erzeugt werden soll. Es handelt sich um einen kreative</w:t>
            </w:r>
            <w:r>
              <w:rPr>
                <w:rFonts w:ascii="Arial" w:hAnsi="Arial" w:cs="Arial"/>
                <w:bCs/>
                <w:color w:val="0B416C"/>
              </w:rPr>
              <w:t xml:space="preserve">n Prozess, der Spaß macht und </w:t>
            </w:r>
            <w:r w:rsidRPr="008C6F8D">
              <w:rPr>
                <w:rFonts w:ascii="Arial" w:hAnsi="Arial" w:cs="Arial"/>
                <w:bCs/>
                <w:color w:val="0B416C"/>
              </w:rPr>
              <w:t>Aufmerksamkeit erzeugt und der auch ohne entsprechende Sprac</w:t>
            </w:r>
            <w:r>
              <w:rPr>
                <w:rFonts w:ascii="Arial" w:hAnsi="Arial" w:cs="Arial"/>
                <w:bCs/>
                <w:color w:val="0B416C"/>
              </w:rPr>
              <w:t xml:space="preserve">hkenntnisse verständlich und ansprechend ist. </w:t>
            </w:r>
            <w:proofErr w:type="spellStart"/>
            <w:r>
              <w:rPr>
                <w:rFonts w:ascii="Arial" w:hAnsi="Arial" w:cs="Arial"/>
                <w:bCs/>
                <w:color w:val="0B416C"/>
              </w:rPr>
              <w:t>Planning</w:t>
            </w:r>
            <w:proofErr w:type="spellEnd"/>
            <w:r>
              <w:rPr>
                <w:rFonts w:ascii="Arial" w:hAnsi="Arial" w:cs="Arial"/>
                <w:bCs/>
                <w:color w:val="0B416C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B416C"/>
              </w:rPr>
              <w:t>for</w:t>
            </w:r>
            <w:proofErr w:type="spellEnd"/>
            <w:r>
              <w:rPr>
                <w:rFonts w:ascii="Arial" w:hAnsi="Arial" w:cs="Arial"/>
                <w:bCs/>
                <w:color w:val="0B416C"/>
              </w:rPr>
              <w:t xml:space="preserve"> R</w:t>
            </w:r>
            <w:r w:rsidRPr="008C6F8D">
              <w:rPr>
                <w:rFonts w:ascii="Arial" w:hAnsi="Arial" w:cs="Arial"/>
                <w:bCs/>
                <w:color w:val="0B416C"/>
              </w:rPr>
              <w:t xml:space="preserve">eal ist nicht für kurzfristige </w:t>
            </w:r>
            <w:r>
              <w:rPr>
                <w:rFonts w:ascii="Arial" w:hAnsi="Arial" w:cs="Arial"/>
                <w:bCs/>
                <w:color w:val="0B416C"/>
              </w:rPr>
              <w:t xml:space="preserve">Analysen geeignet </w:t>
            </w:r>
            <w:r w:rsidRPr="008C6F8D">
              <w:rPr>
                <w:rFonts w:ascii="Arial" w:hAnsi="Arial" w:cs="Arial"/>
                <w:bCs/>
                <w:color w:val="0B416C"/>
              </w:rPr>
              <w:t>und braucht eine Unterstützung durch weitere Methoden, um den Übe</w:t>
            </w:r>
            <w:r>
              <w:rPr>
                <w:rFonts w:ascii="Arial" w:hAnsi="Arial" w:cs="Arial"/>
                <w:bCs/>
                <w:color w:val="0B416C"/>
              </w:rPr>
              <w:t xml:space="preserve">rgang von der Mobilisierung in </w:t>
            </w:r>
            <w:r w:rsidRPr="008C6F8D">
              <w:rPr>
                <w:rFonts w:ascii="Arial" w:hAnsi="Arial" w:cs="Arial"/>
                <w:bCs/>
                <w:color w:val="0B416C"/>
              </w:rPr>
              <w:t>eine ak</w:t>
            </w:r>
            <w:r>
              <w:rPr>
                <w:rFonts w:ascii="Arial" w:hAnsi="Arial" w:cs="Arial"/>
                <w:bCs/>
                <w:color w:val="0B416C"/>
              </w:rPr>
              <w:t>tive Umsetzung zu ermöglichen.</w:t>
            </w:r>
          </w:p>
        </w:tc>
      </w:tr>
      <w:tr w:rsidR="00AA1A63" w:rsidRPr="00E808DE" w14:paraId="73145D30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56E09913" w14:textId="7EBCF0DF" w:rsidR="00AA1A63" w:rsidRPr="00AA1A63" w:rsidRDefault="00AA1A6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/>
                <w:bCs/>
                <w:color w:val="0B416C"/>
              </w:rPr>
              <w:t>Quelle:</w:t>
            </w:r>
          </w:p>
          <w:p w14:paraId="0177FC3D" w14:textId="6F2495BB" w:rsidR="00AA1A63" w:rsidRPr="008C6F8D" w:rsidRDefault="008C6F8D" w:rsidP="008C6F8D">
            <w:pPr>
              <w:pStyle w:val="Listenabsatz"/>
              <w:numPr>
                <w:ilvl w:val="0"/>
                <w:numId w:val="31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8C6F8D">
              <w:rPr>
                <w:rFonts w:ascii="Arial" w:hAnsi="Arial" w:cs="Arial"/>
                <w:bCs/>
                <w:color w:val="0B416C"/>
              </w:rPr>
              <w:t xml:space="preserve">Schwarz C, Hrsg. </w:t>
            </w:r>
            <w:proofErr w:type="spellStart"/>
            <w:r w:rsidRPr="008C6F8D">
              <w:rPr>
                <w:rFonts w:ascii="Arial" w:hAnsi="Arial" w:cs="Arial"/>
                <w:bCs/>
                <w:color w:val="0B416C"/>
              </w:rPr>
              <w:t>Planning</w:t>
            </w:r>
            <w:proofErr w:type="spellEnd"/>
            <w:r w:rsidRPr="008C6F8D">
              <w:rPr>
                <w:rFonts w:ascii="Arial" w:hAnsi="Arial" w:cs="Arial"/>
                <w:bCs/>
                <w:color w:val="0B416C"/>
              </w:rPr>
              <w:t xml:space="preserve"> </w:t>
            </w:r>
            <w:proofErr w:type="spellStart"/>
            <w:r w:rsidRPr="008C6F8D">
              <w:rPr>
                <w:rFonts w:ascii="Arial" w:hAnsi="Arial" w:cs="Arial"/>
                <w:bCs/>
                <w:color w:val="0B416C"/>
              </w:rPr>
              <w:t>for</w:t>
            </w:r>
            <w:proofErr w:type="spellEnd"/>
            <w:r w:rsidRPr="008C6F8D">
              <w:rPr>
                <w:rFonts w:ascii="Arial" w:hAnsi="Arial" w:cs="Arial"/>
                <w:bCs/>
                <w:color w:val="0B416C"/>
              </w:rPr>
              <w:t xml:space="preserve"> Real: Praxiserfahrungen mit einem </w:t>
            </w:r>
            <w:proofErr w:type="spellStart"/>
            <w:r w:rsidRPr="008C6F8D">
              <w:rPr>
                <w:rFonts w:ascii="Arial" w:hAnsi="Arial" w:cs="Arial"/>
                <w:bCs/>
                <w:color w:val="0B416C"/>
              </w:rPr>
              <w:t>gemeinwesenorientierten</w:t>
            </w:r>
            <w:proofErr w:type="spellEnd"/>
            <w:r w:rsidRPr="008C6F8D">
              <w:rPr>
                <w:rFonts w:ascii="Arial" w:hAnsi="Arial" w:cs="Arial"/>
                <w:bCs/>
                <w:color w:val="0B416C"/>
              </w:rPr>
              <w:t xml:space="preserve"> Beteiligungsverfahren. Bonn: Stiftung Mitarbeit; 2010.</w:t>
            </w:r>
          </w:p>
        </w:tc>
      </w:tr>
    </w:tbl>
    <w:p w14:paraId="2818F191" w14:textId="002F2D2B" w:rsidR="00090D8B" w:rsidRPr="00AA1A63" w:rsidRDefault="002C69C1" w:rsidP="00E05463">
      <w:pPr>
        <w:rPr>
          <w:rFonts w:ascii="Arial" w:hAnsi="Arial" w:cs="Arial"/>
        </w:rPr>
      </w:pPr>
    </w:p>
    <w:sectPr w:rsidR="00090D8B" w:rsidRPr="00AA1A6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72E9A" w14:textId="77777777" w:rsidR="002C69C1" w:rsidRDefault="002C69C1" w:rsidP="007438DB">
      <w:pPr>
        <w:spacing w:after="0" w:line="240" w:lineRule="auto"/>
      </w:pPr>
      <w:r>
        <w:separator/>
      </w:r>
    </w:p>
  </w:endnote>
  <w:endnote w:type="continuationSeparator" w:id="0">
    <w:p w14:paraId="36C4F3BC" w14:textId="77777777" w:rsidR="002C69C1" w:rsidRDefault="002C69C1" w:rsidP="0074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AFC90" w14:textId="69ADEC4D" w:rsidR="007438DB" w:rsidRDefault="007438D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04F37CA" wp14:editId="0ADA2080">
          <wp:simplePos x="0" y="0"/>
          <wp:positionH relativeFrom="margin">
            <wp:posOffset>-914400</wp:posOffset>
          </wp:positionH>
          <wp:positionV relativeFrom="margin">
            <wp:posOffset>9555480</wp:posOffset>
          </wp:positionV>
          <wp:extent cx="8593455" cy="215900"/>
          <wp:effectExtent l="0" t="0" r="0" b="0"/>
          <wp:wrapSquare wrapText="bothSides"/>
          <wp:docPr id="90" name="Grafik 90" descr="C:\Users\paulsen\Desktop\Eubeko letter head bottom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0" descr="C:\Users\paulsen\Desktop\Eubeko letter head bottom line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59345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DD5CE" w14:textId="77777777" w:rsidR="002C69C1" w:rsidRDefault="002C69C1" w:rsidP="007438DB">
      <w:pPr>
        <w:spacing w:after="0" w:line="240" w:lineRule="auto"/>
      </w:pPr>
      <w:r>
        <w:separator/>
      </w:r>
    </w:p>
  </w:footnote>
  <w:footnote w:type="continuationSeparator" w:id="0">
    <w:p w14:paraId="5FE7A3ED" w14:textId="77777777" w:rsidR="002C69C1" w:rsidRDefault="002C69C1" w:rsidP="0074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3BD1" w14:textId="307D73DD" w:rsidR="007438DB" w:rsidRDefault="007438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7D2A426" wp14:editId="0E97259C">
          <wp:simplePos x="0" y="0"/>
          <wp:positionH relativeFrom="margin">
            <wp:posOffset>-914400</wp:posOffset>
          </wp:positionH>
          <wp:positionV relativeFrom="margin">
            <wp:posOffset>-887095</wp:posOffset>
          </wp:positionV>
          <wp:extent cx="8178165" cy="227330"/>
          <wp:effectExtent l="0" t="0" r="0" b="1270"/>
          <wp:wrapSquare wrapText="bothSides"/>
          <wp:docPr id="89" name="Grafik 24" descr="C:\Users\paulsen\Desktop\Eubeko letter head Top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C:\Users\paulsen\Desktop\Eubeko letter head Top line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178165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953"/>
    <w:multiLevelType w:val="hybridMultilevel"/>
    <w:tmpl w:val="7E54BB0C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E7249"/>
    <w:multiLevelType w:val="hybridMultilevel"/>
    <w:tmpl w:val="1DAC8FD4"/>
    <w:lvl w:ilvl="0" w:tplc="24AC523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66E0E"/>
    <w:multiLevelType w:val="hybridMultilevel"/>
    <w:tmpl w:val="A760A4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E566E"/>
    <w:multiLevelType w:val="hybridMultilevel"/>
    <w:tmpl w:val="EC88C452"/>
    <w:lvl w:ilvl="0" w:tplc="59847F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A643B"/>
    <w:multiLevelType w:val="hybridMultilevel"/>
    <w:tmpl w:val="35207074"/>
    <w:lvl w:ilvl="0" w:tplc="9EF6B5C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5E4102"/>
    <w:multiLevelType w:val="hybridMultilevel"/>
    <w:tmpl w:val="6B643426"/>
    <w:lvl w:ilvl="0" w:tplc="E18AFB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B502C9"/>
    <w:multiLevelType w:val="hybridMultilevel"/>
    <w:tmpl w:val="9612AE42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0C7860"/>
    <w:multiLevelType w:val="hybridMultilevel"/>
    <w:tmpl w:val="00AC1F2E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741001"/>
    <w:multiLevelType w:val="hybridMultilevel"/>
    <w:tmpl w:val="E92018A2"/>
    <w:lvl w:ilvl="0" w:tplc="65B68D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7E50F9"/>
    <w:multiLevelType w:val="hybridMultilevel"/>
    <w:tmpl w:val="9E28E294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061C09"/>
    <w:multiLevelType w:val="hybridMultilevel"/>
    <w:tmpl w:val="D652C264"/>
    <w:lvl w:ilvl="0" w:tplc="2D48694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6150FA"/>
    <w:multiLevelType w:val="hybridMultilevel"/>
    <w:tmpl w:val="EBDE20F0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27381C"/>
    <w:multiLevelType w:val="hybridMultilevel"/>
    <w:tmpl w:val="C1789E5C"/>
    <w:lvl w:ilvl="0" w:tplc="A9DA879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F90F56"/>
    <w:multiLevelType w:val="hybridMultilevel"/>
    <w:tmpl w:val="0BAC18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F712F2"/>
    <w:multiLevelType w:val="hybridMultilevel"/>
    <w:tmpl w:val="F7702C7E"/>
    <w:lvl w:ilvl="0" w:tplc="493040F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911B03"/>
    <w:multiLevelType w:val="hybridMultilevel"/>
    <w:tmpl w:val="DF8A4E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B73A44"/>
    <w:multiLevelType w:val="hybridMultilevel"/>
    <w:tmpl w:val="F6C817FA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A75CE6"/>
    <w:multiLevelType w:val="hybridMultilevel"/>
    <w:tmpl w:val="3D3A5734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550CDB"/>
    <w:multiLevelType w:val="hybridMultilevel"/>
    <w:tmpl w:val="B5062E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8B6363"/>
    <w:multiLevelType w:val="hybridMultilevel"/>
    <w:tmpl w:val="60366C24"/>
    <w:lvl w:ilvl="0" w:tplc="274C068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B520E0"/>
    <w:multiLevelType w:val="hybridMultilevel"/>
    <w:tmpl w:val="B8AC45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15157B"/>
    <w:multiLevelType w:val="hybridMultilevel"/>
    <w:tmpl w:val="99EA47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CB0122"/>
    <w:multiLevelType w:val="hybridMultilevel"/>
    <w:tmpl w:val="54CC6EE6"/>
    <w:lvl w:ilvl="0" w:tplc="D51AC5E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F201A5"/>
    <w:multiLevelType w:val="hybridMultilevel"/>
    <w:tmpl w:val="E61ED25A"/>
    <w:lvl w:ilvl="0" w:tplc="59847F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BF0EC7"/>
    <w:multiLevelType w:val="hybridMultilevel"/>
    <w:tmpl w:val="4978FB9A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16584F"/>
    <w:multiLevelType w:val="hybridMultilevel"/>
    <w:tmpl w:val="83BAF07A"/>
    <w:lvl w:ilvl="0" w:tplc="25C8D0C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A354E2"/>
    <w:multiLevelType w:val="hybridMultilevel"/>
    <w:tmpl w:val="6C6AB4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A47F27"/>
    <w:multiLevelType w:val="hybridMultilevel"/>
    <w:tmpl w:val="57DAAE70"/>
    <w:lvl w:ilvl="0" w:tplc="A800879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BC6EF1"/>
    <w:multiLevelType w:val="hybridMultilevel"/>
    <w:tmpl w:val="F71EDA50"/>
    <w:lvl w:ilvl="0" w:tplc="B0CCED5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A20020"/>
    <w:multiLevelType w:val="hybridMultilevel"/>
    <w:tmpl w:val="4CC6C092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075E9D"/>
    <w:multiLevelType w:val="hybridMultilevel"/>
    <w:tmpl w:val="58BC9A26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09106E"/>
    <w:multiLevelType w:val="hybridMultilevel"/>
    <w:tmpl w:val="83BAF07A"/>
    <w:lvl w:ilvl="0" w:tplc="25C8D0C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A330F3"/>
    <w:multiLevelType w:val="hybridMultilevel"/>
    <w:tmpl w:val="73DC4B96"/>
    <w:lvl w:ilvl="0" w:tplc="0DF84B2A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EB3EF4"/>
    <w:multiLevelType w:val="hybridMultilevel"/>
    <w:tmpl w:val="D93690C4"/>
    <w:lvl w:ilvl="0" w:tplc="54B6425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4"/>
  </w:num>
  <w:num w:numId="4">
    <w:abstractNumId w:val="28"/>
  </w:num>
  <w:num w:numId="5">
    <w:abstractNumId w:val="27"/>
  </w:num>
  <w:num w:numId="6">
    <w:abstractNumId w:val="22"/>
  </w:num>
  <w:num w:numId="7">
    <w:abstractNumId w:val="19"/>
  </w:num>
  <w:num w:numId="8">
    <w:abstractNumId w:val="6"/>
  </w:num>
  <w:num w:numId="9">
    <w:abstractNumId w:val="32"/>
  </w:num>
  <w:num w:numId="10">
    <w:abstractNumId w:val="5"/>
  </w:num>
  <w:num w:numId="11">
    <w:abstractNumId w:val="16"/>
  </w:num>
  <w:num w:numId="12">
    <w:abstractNumId w:val="8"/>
  </w:num>
  <w:num w:numId="13">
    <w:abstractNumId w:val="29"/>
  </w:num>
  <w:num w:numId="14">
    <w:abstractNumId w:val="25"/>
  </w:num>
  <w:num w:numId="15">
    <w:abstractNumId w:val="10"/>
  </w:num>
  <w:num w:numId="16">
    <w:abstractNumId w:val="33"/>
  </w:num>
  <w:num w:numId="17">
    <w:abstractNumId w:val="30"/>
  </w:num>
  <w:num w:numId="18">
    <w:abstractNumId w:val="12"/>
  </w:num>
  <w:num w:numId="19">
    <w:abstractNumId w:val="1"/>
  </w:num>
  <w:num w:numId="20">
    <w:abstractNumId w:val="17"/>
  </w:num>
  <w:num w:numId="21">
    <w:abstractNumId w:val="11"/>
  </w:num>
  <w:num w:numId="22">
    <w:abstractNumId w:val="14"/>
  </w:num>
  <w:num w:numId="23">
    <w:abstractNumId w:val="31"/>
  </w:num>
  <w:num w:numId="24">
    <w:abstractNumId w:val="0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21"/>
  </w:num>
  <w:num w:numId="30">
    <w:abstractNumId w:val="13"/>
  </w:num>
  <w:num w:numId="31">
    <w:abstractNumId w:val="20"/>
  </w:num>
  <w:num w:numId="32">
    <w:abstractNumId w:val="26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Mjc3MzIwMjM3NTFW0lEKTi0uzszPAykwqgUALrJiYiwAAAA="/>
  </w:docVars>
  <w:rsids>
    <w:rsidRoot w:val="00CB195D"/>
    <w:rsid w:val="00000A45"/>
    <w:rsid w:val="00037991"/>
    <w:rsid w:val="000435F0"/>
    <w:rsid w:val="00054783"/>
    <w:rsid w:val="00077F12"/>
    <w:rsid w:val="00090748"/>
    <w:rsid w:val="000A4488"/>
    <w:rsid w:val="000D6185"/>
    <w:rsid w:val="000D6601"/>
    <w:rsid w:val="001176DE"/>
    <w:rsid w:val="0012004D"/>
    <w:rsid w:val="001473FF"/>
    <w:rsid w:val="00197AF2"/>
    <w:rsid w:val="001A43CA"/>
    <w:rsid w:val="001C6416"/>
    <w:rsid w:val="00201D57"/>
    <w:rsid w:val="002328D7"/>
    <w:rsid w:val="002558AE"/>
    <w:rsid w:val="00291E1E"/>
    <w:rsid w:val="002C69C1"/>
    <w:rsid w:val="002D5A16"/>
    <w:rsid w:val="002E7D2D"/>
    <w:rsid w:val="0031124B"/>
    <w:rsid w:val="00326C60"/>
    <w:rsid w:val="00357A5F"/>
    <w:rsid w:val="003A1806"/>
    <w:rsid w:val="003C52A4"/>
    <w:rsid w:val="003D2508"/>
    <w:rsid w:val="003D3795"/>
    <w:rsid w:val="004449AC"/>
    <w:rsid w:val="0044511C"/>
    <w:rsid w:val="00457C6A"/>
    <w:rsid w:val="004B4E29"/>
    <w:rsid w:val="005063A5"/>
    <w:rsid w:val="0052271A"/>
    <w:rsid w:val="00547C52"/>
    <w:rsid w:val="005F5EB0"/>
    <w:rsid w:val="006763FA"/>
    <w:rsid w:val="006A3316"/>
    <w:rsid w:val="006A5ED8"/>
    <w:rsid w:val="006C03B6"/>
    <w:rsid w:val="006D6E2E"/>
    <w:rsid w:val="006F4EB0"/>
    <w:rsid w:val="006F6950"/>
    <w:rsid w:val="007438DB"/>
    <w:rsid w:val="007832FA"/>
    <w:rsid w:val="0080271C"/>
    <w:rsid w:val="00843CD6"/>
    <w:rsid w:val="00847DA7"/>
    <w:rsid w:val="008561F4"/>
    <w:rsid w:val="0086064D"/>
    <w:rsid w:val="00890D72"/>
    <w:rsid w:val="008C6F8D"/>
    <w:rsid w:val="00905A43"/>
    <w:rsid w:val="009C15BE"/>
    <w:rsid w:val="009E4C48"/>
    <w:rsid w:val="00AA1A63"/>
    <w:rsid w:val="00AD119B"/>
    <w:rsid w:val="00B07D1A"/>
    <w:rsid w:val="00C40CE6"/>
    <w:rsid w:val="00C65319"/>
    <w:rsid w:val="00C97188"/>
    <w:rsid w:val="00CA22B9"/>
    <w:rsid w:val="00CB195D"/>
    <w:rsid w:val="00CC4D3E"/>
    <w:rsid w:val="00CE4177"/>
    <w:rsid w:val="00D17C34"/>
    <w:rsid w:val="00D77C12"/>
    <w:rsid w:val="00DA34C1"/>
    <w:rsid w:val="00DC3F1B"/>
    <w:rsid w:val="00DF25D9"/>
    <w:rsid w:val="00E05463"/>
    <w:rsid w:val="00E14346"/>
    <w:rsid w:val="00E45FC5"/>
    <w:rsid w:val="00E808DE"/>
    <w:rsid w:val="00E8536A"/>
    <w:rsid w:val="00ED228B"/>
    <w:rsid w:val="00EF331A"/>
    <w:rsid w:val="00F77D4C"/>
    <w:rsid w:val="00FD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045BC"/>
  <w15:chartTrackingRefBased/>
  <w15:docId w15:val="{0D754DB5-50D2-41F5-8011-4F28AF48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63F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A44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44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44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44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448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4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4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8DB"/>
  </w:style>
  <w:style w:type="paragraph" w:styleId="Fuzeile">
    <w:name w:val="footer"/>
    <w:basedOn w:val="Standard"/>
    <w:link w:val="FuzeileZchn"/>
    <w:uiPriority w:val="99"/>
    <w:unhideWhenUsed/>
    <w:rsid w:val="0074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Müller</dc:creator>
  <cp:keywords/>
  <dc:description/>
  <cp:lastModifiedBy>Christina Müller</cp:lastModifiedBy>
  <cp:revision>3</cp:revision>
  <dcterms:created xsi:type="dcterms:W3CDTF">2022-09-06T10:57:00Z</dcterms:created>
  <dcterms:modified xsi:type="dcterms:W3CDTF">2022-09-06T12:21:00Z</dcterms:modified>
</cp:coreProperties>
</file>