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278" w:type="dxa"/>
        <w:tblLayout w:type="fixed"/>
        <w:tblLook w:val="04A0" w:firstRow="1" w:lastRow="0" w:firstColumn="1" w:lastColumn="0" w:noHBand="0" w:noVBand="1"/>
      </w:tblPr>
      <w:tblGrid>
        <w:gridCol w:w="9278"/>
      </w:tblGrid>
      <w:tr w:rsidR="00E808DE" w:rsidRPr="00E808DE" w14:paraId="27F74E89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9AD9EA"/>
            <w:vAlign w:val="center"/>
          </w:tcPr>
          <w:p w14:paraId="24994BA2" w14:textId="05498C2D" w:rsidR="00E808DE" w:rsidRPr="00E808DE" w:rsidRDefault="00A62133" w:rsidP="00C264FA">
            <w:pPr>
              <w:spacing w:after="80"/>
              <w:rPr>
                <w:rFonts w:ascii="Arial" w:hAnsi="Arial" w:cs="Arial"/>
                <w:color w:val="0B416C"/>
              </w:rPr>
            </w:pPr>
            <w:r>
              <w:rPr>
                <w:rFonts w:ascii="Arial" w:hAnsi="Arial" w:cs="Arial"/>
                <w:b/>
                <w:color w:val="0B416C"/>
                <w:sz w:val="24"/>
              </w:rPr>
              <w:t xml:space="preserve">Steckbrief: </w:t>
            </w:r>
            <w:r w:rsidR="00F95D7F">
              <w:rPr>
                <w:rFonts w:ascii="Arial" w:hAnsi="Arial" w:cs="Arial"/>
                <w:b/>
                <w:color w:val="0B416C"/>
                <w:sz w:val="24"/>
              </w:rPr>
              <w:t>World Café</w:t>
            </w:r>
          </w:p>
        </w:tc>
      </w:tr>
      <w:tr w:rsidR="00037991" w:rsidRPr="00E808DE" w14:paraId="274909BE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  <w:vAlign w:val="center"/>
          </w:tcPr>
          <w:p w14:paraId="0361453D" w14:textId="77777777" w:rsidR="00037991" w:rsidRDefault="00A62133" w:rsidP="003D3795">
            <w:pPr>
              <w:spacing w:before="80" w:after="80" w:line="259" w:lineRule="auto"/>
              <w:rPr>
                <w:rFonts w:ascii="Arial" w:hAnsi="Arial" w:cs="Arial"/>
                <w:b/>
                <w:bCs/>
                <w:color w:val="0B416C"/>
              </w:rPr>
            </w:pPr>
            <w:r>
              <w:rPr>
                <w:rFonts w:ascii="Arial" w:hAnsi="Arial" w:cs="Arial"/>
                <w:b/>
                <w:bCs/>
                <w:color w:val="0B416C"/>
              </w:rPr>
              <w:t>Ziel:</w:t>
            </w:r>
          </w:p>
          <w:p w14:paraId="09FC189E" w14:textId="5138C483" w:rsidR="00A62133" w:rsidRPr="00A62133" w:rsidRDefault="00F95D7F" w:rsidP="00A62133">
            <w:pPr>
              <w:pStyle w:val="Listenabsatz"/>
              <w:numPr>
                <w:ilvl w:val="0"/>
                <w:numId w:val="33"/>
              </w:numPr>
              <w:spacing w:before="80" w:after="80"/>
              <w:rPr>
                <w:rFonts w:ascii="Arial" w:hAnsi="Arial" w:cs="Arial"/>
                <w:color w:val="0B416C"/>
              </w:rPr>
            </w:pPr>
            <w:r>
              <w:rPr>
                <w:rFonts w:ascii="Arial" w:hAnsi="Arial" w:cs="Arial"/>
                <w:color w:val="0B416C"/>
              </w:rPr>
              <w:t>Bearbeitung und Diskussion diverser Themen, Einflussnahme auf Öffentlichkeit und Gesellschaft</w:t>
            </w:r>
          </w:p>
        </w:tc>
      </w:tr>
      <w:tr w:rsidR="008561F4" w:rsidRPr="00E808DE" w14:paraId="36274A91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  <w:vAlign w:val="center"/>
          </w:tcPr>
          <w:p w14:paraId="604E47D9" w14:textId="195714AB" w:rsidR="008561F4" w:rsidRPr="008561F4" w:rsidRDefault="008561F4" w:rsidP="00F95D7F">
            <w:p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>
              <w:rPr>
                <w:rFonts w:ascii="Arial" w:hAnsi="Arial" w:cs="Arial"/>
                <w:b/>
                <w:bCs/>
                <w:color w:val="0B416C"/>
              </w:rPr>
              <w:t>Gruppengröße:</w:t>
            </w:r>
            <w:r w:rsidR="00A62133">
              <w:rPr>
                <w:rFonts w:ascii="Arial" w:hAnsi="Arial" w:cs="Arial"/>
                <w:bCs/>
                <w:color w:val="0B416C"/>
              </w:rPr>
              <w:t xml:space="preserve"> </w:t>
            </w:r>
            <w:r w:rsidR="00F95D7F">
              <w:rPr>
                <w:rFonts w:ascii="Arial" w:hAnsi="Arial" w:cs="Arial"/>
                <w:bCs/>
                <w:color w:val="0B416C"/>
              </w:rPr>
              <w:t>12-1200</w:t>
            </w:r>
            <w:r>
              <w:rPr>
                <w:rFonts w:ascii="Arial" w:hAnsi="Arial" w:cs="Arial"/>
                <w:bCs/>
                <w:color w:val="0B416C"/>
              </w:rPr>
              <w:t xml:space="preserve"> Personen</w:t>
            </w:r>
          </w:p>
        </w:tc>
      </w:tr>
      <w:tr w:rsidR="008561F4" w:rsidRPr="00E808DE" w14:paraId="16AF6253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  <w:vAlign w:val="center"/>
          </w:tcPr>
          <w:p w14:paraId="08328F48" w14:textId="0D812B93" w:rsidR="008561F4" w:rsidRPr="008561F4" w:rsidRDefault="008561F4" w:rsidP="00C264FA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 w:rsidRPr="008561F4">
              <w:rPr>
                <w:rFonts w:ascii="Arial" w:hAnsi="Arial" w:cs="Arial"/>
                <w:b/>
                <w:bCs/>
                <w:color w:val="0B416C"/>
              </w:rPr>
              <w:t>Dauer:</w:t>
            </w:r>
            <w:r w:rsidRPr="008561F4">
              <w:rPr>
                <w:rFonts w:ascii="Arial" w:hAnsi="Arial" w:cs="Arial"/>
                <w:bCs/>
                <w:color w:val="0B416C"/>
              </w:rPr>
              <w:t xml:space="preserve"> </w:t>
            </w:r>
            <w:r w:rsidR="00F95D7F">
              <w:rPr>
                <w:rFonts w:ascii="Arial" w:hAnsi="Arial" w:cs="Arial"/>
                <w:bCs/>
                <w:color w:val="0B416C"/>
              </w:rPr>
              <w:t>mehrere Gesprächsrunden à 20-30 Minuten, insgesamt ca. 4 Stunden</w:t>
            </w:r>
          </w:p>
        </w:tc>
      </w:tr>
      <w:tr w:rsidR="008561F4" w:rsidRPr="00E808DE" w14:paraId="26563E7A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  <w:vAlign w:val="center"/>
          </w:tcPr>
          <w:p w14:paraId="64BF9F7C" w14:textId="7B492E8A" w:rsidR="008561F4" w:rsidRPr="008561F4" w:rsidRDefault="008561F4" w:rsidP="00C264FA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>
              <w:rPr>
                <w:rFonts w:ascii="Arial" w:hAnsi="Arial" w:cs="Arial"/>
                <w:b/>
                <w:bCs/>
                <w:color w:val="0B416C"/>
              </w:rPr>
              <w:t>Zeitpunkt:</w:t>
            </w:r>
            <w:r w:rsidRPr="008561F4">
              <w:rPr>
                <w:rFonts w:ascii="Arial" w:hAnsi="Arial" w:cs="Arial"/>
                <w:bCs/>
                <w:color w:val="0B416C"/>
              </w:rPr>
              <w:t xml:space="preserve"> </w:t>
            </w:r>
            <w:r w:rsidR="00F95D7F">
              <w:rPr>
                <w:rFonts w:ascii="Arial" w:hAnsi="Arial" w:cs="Arial"/>
                <w:bCs/>
                <w:color w:val="0B416C"/>
              </w:rPr>
              <w:t>Auftaktveranstaltung, Zwischenstand oder Ergebnisevaluation</w:t>
            </w:r>
          </w:p>
        </w:tc>
      </w:tr>
      <w:tr w:rsidR="008561F4" w:rsidRPr="00E808DE" w14:paraId="17538A75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  <w:vAlign w:val="center"/>
          </w:tcPr>
          <w:p w14:paraId="61BB9437" w14:textId="77777777" w:rsidR="008561F4" w:rsidRPr="008561F4" w:rsidRDefault="008561F4" w:rsidP="008561F4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 w:rsidRPr="008561F4">
              <w:rPr>
                <w:rFonts w:ascii="Arial" w:hAnsi="Arial" w:cs="Arial"/>
                <w:b/>
                <w:bCs/>
                <w:color w:val="0B416C"/>
              </w:rPr>
              <w:t>Kurzbeschreibung:</w:t>
            </w:r>
          </w:p>
          <w:p w14:paraId="2C8221B3" w14:textId="6B8464BB" w:rsidR="008561F4" w:rsidRPr="008561F4" w:rsidRDefault="00F95D7F" w:rsidP="00F95D7F">
            <w:p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>
              <w:rPr>
                <w:rFonts w:ascii="Arial" w:hAnsi="Arial" w:cs="Arial"/>
                <w:bCs/>
                <w:color w:val="0B416C"/>
              </w:rPr>
              <w:t>Bei der Methode World Café</w:t>
            </w:r>
            <w:r w:rsidRPr="00F95D7F">
              <w:rPr>
                <w:rFonts w:ascii="Arial" w:hAnsi="Arial" w:cs="Arial"/>
                <w:bCs/>
                <w:color w:val="0B416C"/>
              </w:rPr>
              <w:t xml:space="preserve"> wird in einer entspannten, kaffeeha</w:t>
            </w:r>
            <w:r>
              <w:rPr>
                <w:rFonts w:ascii="Arial" w:hAnsi="Arial" w:cs="Arial"/>
                <w:bCs/>
                <w:color w:val="0B416C"/>
              </w:rPr>
              <w:t>usähnlichen Atmosphäre ein krea</w:t>
            </w:r>
            <w:r w:rsidRPr="00F95D7F">
              <w:rPr>
                <w:rFonts w:ascii="Arial" w:hAnsi="Arial" w:cs="Arial"/>
                <w:bCs/>
                <w:color w:val="0B416C"/>
              </w:rPr>
              <w:t>tiver Prozess in Gang gesetzt, der über mehrere Gesprächsrunde</w:t>
            </w:r>
            <w:r>
              <w:rPr>
                <w:rFonts w:ascii="Arial" w:hAnsi="Arial" w:cs="Arial"/>
                <w:bCs/>
                <w:color w:val="0B416C"/>
              </w:rPr>
              <w:t xml:space="preserve">n den Austausch von Wissen und </w:t>
            </w:r>
            <w:r w:rsidRPr="00F95D7F">
              <w:rPr>
                <w:rFonts w:ascii="Arial" w:hAnsi="Arial" w:cs="Arial"/>
                <w:bCs/>
                <w:color w:val="0B416C"/>
              </w:rPr>
              <w:t>Ideen unter den Beteiligten fördert und so zu neuen Erkenntnissen führt.</w:t>
            </w:r>
          </w:p>
        </w:tc>
      </w:tr>
      <w:tr w:rsidR="008561F4" w:rsidRPr="00E808DE" w14:paraId="12E91670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  <w:vAlign w:val="center"/>
          </w:tcPr>
          <w:p w14:paraId="49AE683B" w14:textId="77777777" w:rsidR="008561F4" w:rsidRPr="008561F4" w:rsidRDefault="008561F4" w:rsidP="008561F4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 w:rsidRPr="008561F4">
              <w:rPr>
                <w:rFonts w:ascii="Arial" w:hAnsi="Arial" w:cs="Arial"/>
                <w:b/>
                <w:bCs/>
                <w:color w:val="0B416C"/>
              </w:rPr>
              <w:t>Ablauf:</w:t>
            </w:r>
          </w:p>
          <w:p w14:paraId="2AE3AE39" w14:textId="5C145180" w:rsidR="008561F4" w:rsidRPr="008561F4" w:rsidRDefault="00F95D7F" w:rsidP="008561F4">
            <w:pPr>
              <w:pStyle w:val="Listenabsatz"/>
              <w:numPr>
                <w:ilvl w:val="0"/>
                <w:numId w:val="28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>
              <w:rPr>
                <w:rFonts w:ascii="Arial" w:hAnsi="Arial" w:cs="Arial"/>
                <w:bCs/>
                <w:color w:val="0B416C"/>
              </w:rPr>
              <w:t xml:space="preserve">Vorbereitung: Einrichtung einer Planungsgruppe, die zu behandelnde Fragen und </w:t>
            </w:r>
            <w:proofErr w:type="spellStart"/>
            <w:proofErr w:type="gramStart"/>
            <w:r>
              <w:rPr>
                <w:rFonts w:ascii="Arial" w:hAnsi="Arial" w:cs="Arial"/>
                <w:bCs/>
                <w:color w:val="0B416C"/>
              </w:rPr>
              <w:t>Gastgeber:innen</w:t>
            </w:r>
            <w:proofErr w:type="spellEnd"/>
            <w:proofErr w:type="gramEnd"/>
            <w:r>
              <w:rPr>
                <w:rFonts w:ascii="Arial" w:hAnsi="Arial" w:cs="Arial"/>
                <w:bCs/>
                <w:color w:val="0B416C"/>
              </w:rPr>
              <w:t xml:space="preserve"> festlegt</w:t>
            </w:r>
          </w:p>
          <w:p w14:paraId="1C70DD41" w14:textId="5D7FF8D0" w:rsidR="00F95D7F" w:rsidRDefault="00F95D7F" w:rsidP="00F95D7F">
            <w:pPr>
              <w:pStyle w:val="Listenabsatz"/>
              <w:numPr>
                <w:ilvl w:val="0"/>
                <w:numId w:val="28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>
              <w:rPr>
                <w:rFonts w:ascii="Arial" w:hAnsi="Arial" w:cs="Arial"/>
                <w:bCs/>
                <w:color w:val="0B416C"/>
              </w:rPr>
              <w:t>Durchführung</w:t>
            </w:r>
          </w:p>
          <w:p w14:paraId="4B03BDDB" w14:textId="3624B9F6" w:rsidR="00F95D7F" w:rsidRPr="00F95D7F" w:rsidRDefault="00F95D7F" w:rsidP="00F95D7F">
            <w:pPr>
              <w:pStyle w:val="Listenabsatz"/>
              <w:numPr>
                <w:ilvl w:val="1"/>
                <w:numId w:val="28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F95D7F">
              <w:rPr>
                <w:rFonts w:ascii="Arial" w:hAnsi="Arial" w:cs="Arial"/>
                <w:bCs/>
                <w:color w:val="0B416C"/>
              </w:rPr>
              <w:t xml:space="preserve">Teilnehmer*innen stehen oder sitzen im Raum verteilt an kleinen Tischen mit vier bis maximal sechs Personen </w:t>
            </w:r>
          </w:p>
          <w:p w14:paraId="699750E0" w14:textId="26DF0E24" w:rsidR="00F95D7F" w:rsidRPr="00F95D7F" w:rsidRDefault="00F95D7F" w:rsidP="00F95D7F">
            <w:pPr>
              <w:pStyle w:val="Listenabsatz"/>
              <w:numPr>
                <w:ilvl w:val="1"/>
                <w:numId w:val="28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F95D7F">
              <w:rPr>
                <w:rFonts w:ascii="Arial" w:hAnsi="Arial" w:cs="Arial"/>
                <w:bCs/>
                <w:color w:val="0B416C"/>
              </w:rPr>
              <w:t>Tische sind mit be</w:t>
            </w:r>
            <w:r>
              <w:rPr>
                <w:rFonts w:ascii="Arial" w:hAnsi="Arial" w:cs="Arial"/>
                <w:bCs/>
                <w:color w:val="0B416C"/>
              </w:rPr>
              <w:t>schreibbaren „Papiertischdecken“</w:t>
            </w:r>
            <w:r w:rsidRPr="00F95D7F">
              <w:rPr>
                <w:rFonts w:ascii="Arial" w:hAnsi="Arial" w:cs="Arial"/>
                <w:bCs/>
                <w:color w:val="0B416C"/>
              </w:rPr>
              <w:t xml:space="preserve"> und Stiften ausgestattet </w:t>
            </w:r>
          </w:p>
          <w:p w14:paraId="6D0684CD" w14:textId="70325E99" w:rsidR="00F95D7F" w:rsidRPr="00F95D7F" w:rsidRDefault="00F95D7F" w:rsidP="00F95D7F">
            <w:pPr>
              <w:pStyle w:val="Listenabsatz"/>
              <w:numPr>
                <w:ilvl w:val="1"/>
                <w:numId w:val="28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proofErr w:type="spellStart"/>
            <w:r>
              <w:rPr>
                <w:rFonts w:ascii="Arial" w:hAnsi="Arial" w:cs="Arial"/>
                <w:bCs/>
                <w:color w:val="0B416C"/>
              </w:rPr>
              <w:t>Moderator:</w:t>
            </w:r>
            <w:r w:rsidRPr="00F95D7F">
              <w:rPr>
                <w:rFonts w:ascii="Arial" w:hAnsi="Arial" w:cs="Arial"/>
                <w:bCs/>
                <w:color w:val="0B416C"/>
              </w:rPr>
              <w:t>in</w:t>
            </w:r>
            <w:proofErr w:type="spellEnd"/>
            <w:r w:rsidRPr="00F95D7F">
              <w:rPr>
                <w:rFonts w:ascii="Arial" w:hAnsi="Arial" w:cs="Arial"/>
                <w:bCs/>
                <w:color w:val="0B416C"/>
              </w:rPr>
              <w:t xml:space="preserve"> führt in die Arbeitsweise ein, erläutert den </w:t>
            </w:r>
            <w:r>
              <w:rPr>
                <w:rFonts w:ascii="Arial" w:hAnsi="Arial" w:cs="Arial"/>
                <w:bCs/>
                <w:color w:val="0B416C"/>
              </w:rPr>
              <w:t>Ablauf und weist auf die Verhal</w:t>
            </w:r>
            <w:r w:rsidRPr="00F95D7F">
              <w:rPr>
                <w:rFonts w:ascii="Arial" w:hAnsi="Arial" w:cs="Arial"/>
                <w:bCs/>
                <w:color w:val="0B416C"/>
              </w:rPr>
              <w:t xml:space="preserve">tensregeln hin </w:t>
            </w:r>
          </w:p>
          <w:p w14:paraId="11793070" w14:textId="35C798D0" w:rsidR="00F95D7F" w:rsidRDefault="00F95D7F" w:rsidP="00F95D7F">
            <w:pPr>
              <w:pStyle w:val="Listenabsatz"/>
              <w:numPr>
                <w:ilvl w:val="1"/>
                <w:numId w:val="28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color w:val="0B416C"/>
              </w:rPr>
              <w:t>Gastgeber:</w:t>
            </w:r>
            <w:r w:rsidRPr="00F95D7F">
              <w:rPr>
                <w:rFonts w:ascii="Arial" w:hAnsi="Arial" w:cs="Arial"/>
                <w:bCs/>
                <w:color w:val="0B416C"/>
              </w:rPr>
              <w:t>innen</w:t>
            </w:r>
            <w:proofErr w:type="spellEnd"/>
            <w:proofErr w:type="gramEnd"/>
            <w:r w:rsidRPr="00F95D7F">
              <w:rPr>
                <w:rFonts w:ascii="Arial" w:hAnsi="Arial" w:cs="Arial"/>
                <w:bCs/>
                <w:color w:val="0B416C"/>
              </w:rPr>
              <w:t xml:space="preserve"> an den Tischen sorgen für die inha</w:t>
            </w:r>
            <w:r>
              <w:rPr>
                <w:rFonts w:ascii="Arial" w:hAnsi="Arial" w:cs="Arial"/>
                <w:bCs/>
                <w:color w:val="0B416C"/>
              </w:rPr>
              <w:t>ltliche Verknüpfung der Erkennt</w:t>
            </w:r>
            <w:r w:rsidRPr="00F95D7F">
              <w:rPr>
                <w:rFonts w:ascii="Arial" w:hAnsi="Arial" w:cs="Arial"/>
                <w:bCs/>
                <w:color w:val="0B416C"/>
              </w:rPr>
              <w:t>nisse aus den unterschiedlichen Diskussionsrunden</w:t>
            </w:r>
          </w:p>
          <w:p w14:paraId="660920B2" w14:textId="3D600216" w:rsidR="00F95D7F" w:rsidRPr="00F95D7F" w:rsidRDefault="00F95D7F" w:rsidP="00F95D7F">
            <w:pPr>
              <w:pStyle w:val="Listenabsatz"/>
              <w:numPr>
                <w:ilvl w:val="1"/>
                <w:numId w:val="28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F95D7F">
              <w:rPr>
                <w:rFonts w:ascii="Arial" w:hAnsi="Arial" w:cs="Arial"/>
                <w:bCs/>
                <w:color w:val="0B416C"/>
              </w:rPr>
              <w:t>Im Verlauf werden 2-3 untersc</w:t>
            </w:r>
            <w:r>
              <w:rPr>
                <w:rFonts w:ascii="Arial" w:hAnsi="Arial" w:cs="Arial"/>
                <w:bCs/>
                <w:color w:val="0B416C"/>
              </w:rPr>
              <w:t>hiedliche Fragen in aufeinanderfolgenden Gesprächs</w:t>
            </w:r>
            <w:r w:rsidRPr="00F95D7F">
              <w:rPr>
                <w:rFonts w:ascii="Arial" w:hAnsi="Arial" w:cs="Arial"/>
                <w:bCs/>
                <w:color w:val="0B416C"/>
              </w:rPr>
              <w:t xml:space="preserve">runden von 20-30 Minuten an allen Tischen bearbeitet </w:t>
            </w:r>
          </w:p>
          <w:p w14:paraId="1194243E" w14:textId="68049C37" w:rsidR="00F95D7F" w:rsidRPr="00F95D7F" w:rsidRDefault="00F95D7F" w:rsidP="00F95D7F">
            <w:pPr>
              <w:pStyle w:val="Listenabsatz"/>
              <w:numPr>
                <w:ilvl w:val="1"/>
                <w:numId w:val="28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F95D7F">
              <w:rPr>
                <w:rFonts w:ascii="Arial" w:hAnsi="Arial" w:cs="Arial"/>
                <w:bCs/>
                <w:color w:val="0B416C"/>
              </w:rPr>
              <w:t>Zwischen den Gesprächsrunden mischen sich die Gr</w:t>
            </w:r>
            <w:r>
              <w:rPr>
                <w:rFonts w:ascii="Arial" w:hAnsi="Arial" w:cs="Arial"/>
                <w:bCs/>
                <w:color w:val="0B416C"/>
              </w:rPr>
              <w:t xml:space="preserve">uppen neu. Nur die </w:t>
            </w:r>
            <w:proofErr w:type="spellStart"/>
            <w:proofErr w:type="gramStart"/>
            <w:r>
              <w:rPr>
                <w:rFonts w:ascii="Arial" w:hAnsi="Arial" w:cs="Arial"/>
                <w:bCs/>
                <w:color w:val="0B416C"/>
              </w:rPr>
              <w:t>Gastgeber:in</w:t>
            </w:r>
            <w:r w:rsidRPr="00F95D7F">
              <w:rPr>
                <w:rFonts w:ascii="Arial" w:hAnsi="Arial" w:cs="Arial"/>
                <w:bCs/>
                <w:color w:val="0B416C"/>
              </w:rPr>
              <w:t>nen</w:t>
            </w:r>
            <w:proofErr w:type="spellEnd"/>
            <w:proofErr w:type="gramEnd"/>
            <w:r w:rsidRPr="00F95D7F">
              <w:rPr>
                <w:rFonts w:ascii="Arial" w:hAnsi="Arial" w:cs="Arial"/>
                <w:bCs/>
                <w:color w:val="0B416C"/>
              </w:rPr>
              <w:t xml:space="preserve"> bleiben die ganze Zeit über an einem Tisch: Sie begrüßen neue Gäste, resümieren kurz das vorhergehende Gespräch und bringen den Diskurs erneut in Gang </w:t>
            </w:r>
          </w:p>
          <w:p w14:paraId="127AFA82" w14:textId="1AAD0400" w:rsidR="00A62133" w:rsidRPr="00F95D7F" w:rsidRDefault="00F95D7F" w:rsidP="00F95D7F">
            <w:pPr>
              <w:pStyle w:val="Listenabsatz"/>
              <w:numPr>
                <w:ilvl w:val="1"/>
                <w:numId w:val="28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F95D7F">
              <w:rPr>
                <w:rFonts w:ascii="Arial" w:hAnsi="Arial" w:cs="Arial"/>
                <w:bCs/>
                <w:color w:val="0B416C"/>
              </w:rPr>
              <w:t>Schließt mit einer Reflexionsphase ab</w:t>
            </w:r>
          </w:p>
        </w:tc>
      </w:tr>
      <w:tr w:rsidR="008561F4" w:rsidRPr="00E808DE" w14:paraId="462123A0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  <w:vAlign w:val="center"/>
          </w:tcPr>
          <w:p w14:paraId="648E1AC9" w14:textId="6E7BD2E6" w:rsidR="008561F4" w:rsidRPr="008561F4" w:rsidRDefault="008561F4" w:rsidP="008561F4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 w:rsidRPr="008561F4">
              <w:rPr>
                <w:rFonts w:ascii="Arial" w:hAnsi="Arial" w:cs="Arial"/>
                <w:b/>
                <w:bCs/>
                <w:color w:val="0B416C"/>
              </w:rPr>
              <w:t>Aufwand für Durchführende</w:t>
            </w:r>
            <w:r w:rsidR="00AA1A63">
              <w:rPr>
                <w:rFonts w:ascii="Arial" w:hAnsi="Arial" w:cs="Arial"/>
                <w:b/>
                <w:bCs/>
                <w:color w:val="0B416C"/>
              </w:rPr>
              <w:t>:</w:t>
            </w:r>
          </w:p>
          <w:p w14:paraId="3AA670B4" w14:textId="4E6AF292" w:rsidR="008561F4" w:rsidRPr="00AA1A63" w:rsidRDefault="00A62133" w:rsidP="00AA1A63">
            <w:pPr>
              <w:pStyle w:val="Listenabsatz"/>
              <w:numPr>
                <w:ilvl w:val="0"/>
                <w:numId w:val="29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>
              <w:rPr>
                <w:rFonts w:ascii="Arial" w:hAnsi="Arial" w:cs="Arial"/>
                <w:bCs/>
                <w:color w:val="0B416C"/>
              </w:rPr>
              <w:t>Zeit</w:t>
            </w:r>
            <w:r w:rsidR="008561F4" w:rsidRPr="00AA1A63">
              <w:rPr>
                <w:rFonts w:ascii="Arial" w:hAnsi="Arial" w:cs="Arial"/>
                <w:bCs/>
                <w:color w:val="0B416C"/>
              </w:rPr>
              <w:t xml:space="preserve">: </w:t>
            </w:r>
            <w:r w:rsidR="00F95D7F">
              <w:rPr>
                <w:rFonts w:ascii="Arial" w:hAnsi="Arial" w:cs="Arial"/>
                <w:bCs/>
                <w:color w:val="0B416C"/>
              </w:rPr>
              <w:t>Planung über mehrere Wochen</w:t>
            </w:r>
          </w:p>
          <w:p w14:paraId="1E3E8182" w14:textId="019A3232" w:rsidR="008561F4" w:rsidRPr="00AA1A63" w:rsidRDefault="008561F4" w:rsidP="00AA1A63">
            <w:pPr>
              <w:pStyle w:val="Listenabsatz"/>
              <w:numPr>
                <w:ilvl w:val="0"/>
                <w:numId w:val="29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AA1A63">
              <w:rPr>
                <w:rFonts w:ascii="Arial" w:hAnsi="Arial" w:cs="Arial"/>
                <w:bCs/>
                <w:color w:val="0B416C"/>
              </w:rPr>
              <w:t xml:space="preserve">Kosten: </w:t>
            </w:r>
            <w:r w:rsidR="00F95D7F">
              <w:rPr>
                <w:rFonts w:ascii="Arial" w:hAnsi="Arial" w:cs="Arial"/>
                <w:bCs/>
                <w:color w:val="0B416C"/>
              </w:rPr>
              <w:t>Personal, Material, Räumlichkeiten, Verpflegung</w:t>
            </w:r>
          </w:p>
          <w:p w14:paraId="6FB321B6" w14:textId="1CC78853" w:rsidR="008561F4" w:rsidRPr="00AA1A63" w:rsidRDefault="008561F4" w:rsidP="00C264FA">
            <w:pPr>
              <w:pStyle w:val="Listenabsatz"/>
              <w:numPr>
                <w:ilvl w:val="0"/>
                <w:numId w:val="29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AA1A63">
              <w:rPr>
                <w:rFonts w:ascii="Arial" w:hAnsi="Arial" w:cs="Arial"/>
                <w:bCs/>
                <w:color w:val="0B416C"/>
              </w:rPr>
              <w:t xml:space="preserve">Nutzen: </w:t>
            </w:r>
            <w:r w:rsidR="00F95D7F">
              <w:rPr>
                <w:rFonts w:ascii="Arial" w:hAnsi="Arial" w:cs="Arial"/>
                <w:bCs/>
                <w:color w:val="0B416C"/>
              </w:rPr>
              <w:t xml:space="preserve">Erkenntnisgewinn für die Kommune, Ermittlung der Bedürfnisse der </w:t>
            </w:r>
            <w:proofErr w:type="spellStart"/>
            <w:r w:rsidR="00F95D7F">
              <w:rPr>
                <w:rFonts w:ascii="Arial" w:hAnsi="Arial" w:cs="Arial"/>
                <w:bCs/>
                <w:color w:val="0B416C"/>
              </w:rPr>
              <w:t>Bürger:innen</w:t>
            </w:r>
            <w:proofErr w:type="spellEnd"/>
          </w:p>
        </w:tc>
      </w:tr>
      <w:tr w:rsidR="00AA1A63" w:rsidRPr="00E808DE" w14:paraId="617528E5" w14:textId="77777777" w:rsidTr="00AA1A63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  <w:vAlign w:val="center"/>
          </w:tcPr>
          <w:p w14:paraId="618189C8" w14:textId="0D10636E" w:rsidR="00AA1A63" w:rsidRPr="00AA1A63" w:rsidRDefault="00AA1A63" w:rsidP="00AA1A63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 w:rsidRPr="00AA1A63">
              <w:rPr>
                <w:rFonts w:ascii="Arial" w:hAnsi="Arial" w:cs="Arial"/>
                <w:b/>
                <w:bCs/>
                <w:color w:val="0B416C"/>
              </w:rPr>
              <w:t>Aufwand für Zielgruppe</w:t>
            </w:r>
            <w:r>
              <w:rPr>
                <w:rFonts w:ascii="Arial" w:hAnsi="Arial" w:cs="Arial"/>
                <w:b/>
                <w:bCs/>
                <w:color w:val="0B416C"/>
              </w:rPr>
              <w:t>:</w:t>
            </w:r>
          </w:p>
          <w:p w14:paraId="418FABCD" w14:textId="5F27349B" w:rsidR="00AA1A63" w:rsidRPr="00AA1A63" w:rsidRDefault="00AA1A63" w:rsidP="00AA1A63">
            <w:pPr>
              <w:pStyle w:val="Listenabsatz"/>
              <w:numPr>
                <w:ilvl w:val="0"/>
                <w:numId w:val="30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AA1A63">
              <w:rPr>
                <w:rFonts w:ascii="Arial" w:hAnsi="Arial" w:cs="Arial"/>
                <w:bCs/>
                <w:color w:val="0B416C"/>
              </w:rPr>
              <w:t xml:space="preserve">Zeit: </w:t>
            </w:r>
            <w:r w:rsidR="00F95D7F">
              <w:rPr>
                <w:rFonts w:ascii="Arial" w:hAnsi="Arial" w:cs="Arial"/>
                <w:bCs/>
                <w:color w:val="0B416C"/>
              </w:rPr>
              <w:t>ca. 4 Stunden</w:t>
            </w:r>
          </w:p>
          <w:p w14:paraId="11B65AF6" w14:textId="64A790B2" w:rsidR="00AA1A63" w:rsidRPr="00AA1A63" w:rsidRDefault="00AA1A63" w:rsidP="00AA1A63">
            <w:pPr>
              <w:pStyle w:val="Listenabsatz"/>
              <w:numPr>
                <w:ilvl w:val="0"/>
                <w:numId w:val="30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proofErr w:type="spellStart"/>
            <w:r w:rsidRPr="00AA1A63">
              <w:rPr>
                <w:rFonts w:ascii="Arial" w:hAnsi="Arial" w:cs="Arial"/>
                <w:bCs/>
                <w:color w:val="0B416C"/>
              </w:rPr>
              <w:t>Niedrigschwelligkeit</w:t>
            </w:r>
            <w:proofErr w:type="spellEnd"/>
            <w:r w:rsidRPr="00AA1A63">
              <w:rPr>
                <w:rFonts w:ascii="Arial" w:hAnsi="Arial" w:cs="Arial"/>
                <w:bCs/>
                <w:color w:val="0B416C"/>
              </w:rPr>
              <w:t xml:space="preserve">: </w:t>
            </w:r>
            <w:r w:rsidR="00F95D7F">
              <w:rPr>
                <w:rFonts w:ascii="Arial" w:hAnsi="Arial" w:cs="Arial"/>
                <w:bCs/>
                <w:color w:val="0B416C"/>
              </w:rPr>
              <w:t>entspannte und lockere Atmosphäre</w:t>
            </w:r>
          </w:p>
          <w:p w14:paraId="748D07E7" w14:textId="1DD58424" w:rsidR="00AA1A63" w:rsidRPr="00AA1A63" w:rsidRDefault="00AA1A63" w:rsidP="00C264FA">
            <w:pPr>
              <w:pStyle w:val="Listenabsatz"/>
              <w:numPr>
                <w:ilvl w:val="0"/>
                <w:numId w:val="30"/>
              </w:num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 w:rsidRPr="00AA1A63">
              <w:rPr>
                <w:rFonts w:ascii="Arial" w:hAnsi="Arial" w:cs="Arial"/>
                <w:bCs/>
                <w:color w:val="0B416C"/>
              </w:rPr>
              <w:t xml:space="preserve">Barrieren: </w:t>
            </w:r>
            <w:r w:rsidR="00F95D7F">
              <w:rPr>
                <w:rFonts w:ascii="Arial" w:hAnsi="Arial" w:cs="Arial"/>
                <w:bCs/>
                <w:color w:val="0B416C"/>
              </w:rPr>
              <w:t>evtl. geringe Teilnahme von vulnerablen Zielgruppen</w:t>
            </w:r>
          </w:p>
        </w:tc>
      </w:tr>
      <w:tr w:rsidR="00AA1A63" w:rsidRPr="00E808DE" w14:paraId="488984FC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  <w:vAlign w:val="center"/>
          </w:tcPr>
          <w:p w14:paraId="6FD83547" w14:textId="77777777" w:rsidR="00AA1A63" w:rsidRPr="00AA1A63" w:rsidRDefault="00AA1A63" w:rsidP="00AA1A63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 w:rsidRPr="00AA1A63">
              <w:rPr>
                <w:rFonts w:ascii="Arial" w:hAnsi="Arial" w:cs="Arial"/>
                <w:b/>
                <w:bCs/>
                <w:color w:val="0B416C"/>
              </w:rPr>
              <w:t>Material:</w:t>
            </w:r>
          </w:p>
          <w:p w14:paraId="14061613" w14:textId="772ED597" w:rsidR="00AA1A63" w:rsidRPr="00AA1A63" w:rsidRDefault="00F95D7F" w:rsidP="00AA1A63">
            <w:p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>
              <w:rPr>
                <w:rFonts w:ascii="Arial" w:hAnsi="Arial" w:cs="Arial"/>
                <w:bCs/>
                <w:color w:val="0B416C"/>
              </w:rPr>
              <w:t>Beschreibbare Papiertischdecken, Stifte</w:t>
            </w:r>
          </w:p>
        </w:tc>
      </w:tr>
      <w:tr w:rsidR="00AA1A63" w:rsidRPr="00E808DE" w14:paraId="2CDB4082" w14:textId="77777777" w:rsidTr="00AA1A63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  <w:vAlign w:val="center"/>
          </w:tcPr>
          <w:p w14:paraId="5620B432" w14:textId="2F304E9C" w:rsidR="00A62133" w:rsidRPr="00AA1A63" w:rsidRDefault="00A62133" w:rsidP="00AA1A63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>
              <w:rPr>
                <w:rFonts w:ascii="Arial" w:hAnsi="Arial" w:cs="Arial"/>
                <w:b/>
                <w:bCs/>
                <w:color w:val="0B416C"/>
              </w:rPr>
              <w:t>Fazit:</w:t>
            </w:r>
          </w:p>
          <w:p w14:paraId="385B97CC" w14:textId="6E5A28FD" w:rsidR="00AA1A63" w:rsidRPr="00C54E9D" w:rsidRDefault="00F95D7F" w:rsidP="00A62133">
            <w:p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>
              <w:rPr>
                <w:rFonts w:ascii="Arial" w:hAnsi="Arial" w:cs="Arial"/>
                <w:bCs/>
                <w:color w:val="0B416C"/>
              </w:rPr>
              <w:lastRenderedPageBreak/>
              <w:t>D</w:t>
            </w:r>
            <w:r w:rsidRPr="00F95D7F">
              <w:rPr>
                <w:rFonts w:ascii="Arial" w:hAnsi="Arial" w:cs="Arial"/>
                <w:bCs/>
                <w:color w:val="0B416C"/>
              </w:rPr>
              <w:t>as World Café eignet sich gut, um unterschiedliche Sichtw</w:t>
            </w:r>
            <w:r>
              <w:rPr>
                <w:rFonts w:ascii="Arial" w:hAnsi="Arial" w:cs="Arial"/>
                <w:bCs/>
                <w:color w:val="0B416C"/>
              </w:rPr>
              <w:t>eisen zu einem Thema zusammenzu</w:t>
            </w:r>
            <w:r w:rsidRPr="00F95D7F">
              <w:rPr>
                <w:rFonts w:ascii="Arial" w:hAnsi="Arial" w:cs="Arial"/>
                <w:bCs/>
                <w:color w:val="0B416C"/>
              </w:rPr>
              <w:t>führen und innerhalb kurzer Zeit gemeinsam einen Handlungsplan</w:t>
            </w:r>
            <w:r>
              <w:rPr>
                <w:rFonts w:ascii="Arial" w:hAnsi="Arial" w:cs="Arial"/>
                <w:bCs/>
                <w:color w:val="0B416C"/>
              </w:rPr>
              <w:t xml:space="preserve"> und Strategien zu entwickeln oder um Feedback einzuholen.</w:t>
            </w:r>
          </w:p>
        </w:tc>
      </w:tr>
      <w:tr w:rsidR="00AA1A63" w:rsidRPr="00E808DE" w14:paraId="73145D30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  <w:vAlign w:val="center"/>
          </w:tcPr>
          <w:p w14:paraId="56E09913" w14:textId="225EAB9F" w:rsidR="00AA1A63" w:rsidRPr="00AA1A63" w:rsidRDefault="00AA1A63" w:rsidP="00AA1A63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 w:rsidRPr="00AA1A63">
              <w:rPr>
                <w:rFonts w:ascii="Arial" w:hAnsi="Arial" w:cs="Arial"/>
                <w:b/>
                <w:bCs/>
                <w:color w:val="0B416C"/>
              </w:rPr>
              <w:lastRenderedPageBreak/>
              <w:t>Quelle</w:t>
            </w:r>
            <w:r>
              <w:rPr>
                <w:rFonts w:ascii="Arial" w:hAnsi="Arial" w:cs="Arial"/>
                <w:b/>
                <w:bCs/>
                <w:color w:val="0B416C"/>
              </w:rPr>
              <w:t>n</w:t>
            </w:r>
            <w:r w:rsidRPr="00AA1A63">
              <w:rPr>
                <w:rFonts w:ascii="Arial" w:hAnsi="Arial" w:cs="Arial"/>
                <w:b/>
                <w:bCs/>
                <w:color w:val="0B416C"/>
              </w:rPr>
              <w:t>:</w:t>
            </w:r>
          </w:p>
          <w:p w14:paraId="29FBA844" w14:textId="196D5CB8" w:rsidR="00F95D7F" w:rsidRPr="00F95D7F" w:rsidRDefault="00F95D7F" w:rsidP="00F95D7F">
            <w:pPr>
              <w:pStyle w:val="Listenabsatz"/>
              <w:numPr>
                <w:ilvl w:val="0"/>
                <w:numId w:val="31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F95D7F">
              <w:rPr>
                <w:rFonts w:ascii="Arial" w:hAnsi="Arial" w:cs="Arial"/>
                <w:bCs/>
                <w:color w:val="0B416C"/>
              </w:rPr>
              <w:t xml:space="preserve">Föhr T. Der World </w:t>
            </w:r>
            <w:proofErr w:type="spellStart"/>
            <w:r w:rsidRPr="00F95D7F">
              <w:rPr>
                <w:rFonts w:ascii="Arial" w:hAnsi="Arial" w:cs="Arial"/>
                <w:bCs/>
                <w:color w:val="0B416C"/>
              </w:rPr>
              <w:t>Cafe</w:t>
            </w:r>
            <w:proofErr w:type="spellEnd"/>
            <w:r w:rsidRPr="00F95D7F">
              <w:rPr>
                <w:rFonts w:ascii="Arial" w:hAnsi="Arial" w:cs="Arial"/>
                <w:bCs/>
                <w:color w:val="0B416C"/>
              </w:rPr>
              <w:t xml:space="preserve"> – Schnack: Ein neues Konzept für </w:t>
            </w:r>
            <w:r>
              <w:rPr>
                <w:rFonts w:ascii="Arial" w:hAnsi="Arial" w:cs="Arial"/>
                <w:bCs/>
                <w:color w:val="0B416C"/>
              </w:rPr>
              <w:t>das Städtische Museum in Göttin</w:t>
            </w:r>
            <w:r w:rsidRPr="00F95D7F">
              <w:rPr>
                <w:rFonts w:ascii="Arial" w:hAnsi="Arial" w:cs="Arial"/>
                <w:bCs/>
                <w:color w:val="0B416C"/>
              </w:rPr>
              <w:t xml:space="preserve">gen; 2016 [Stand: </w:t>
            </w:r>
            <w:r w:rsidR="00F310F7">
              <w:rPr>
                <w:rFonts w:ascii="Arial" w:hAnsi="Arial" w:cs="Arial"/>
                <w:bCs/>
                <w:color w:val="0B416C"/>
              </w:rPr>
              <w:t>06.09.2022</w:t>
            </w:r>
            <w:r w:rsidRPr="00F95D7F">
              <w:rPr>
                <w:rFonts w:ascii="Arial" w:hAnsi="Arial" w:cs="Arial"/>
                <w:bCs/>
                <w:color w:val="0B416C"/>
              </w:rPr>
              <w:t>]. Verfügbar unter:</w:t>
            </w:r>
            <w:r>
              <w:rPr>
                <w:rFonts w:ascii="Arial" w:hAnsi="Arial" w:cs="Arial"/>
                <w:bCs/>
                <w:color w:val="0B416C"/>
              </w:rPr>
              <w:t xml:space="preserve"> </w:t>
            </w:r>
            <w:r w:rsidRPr="00F95D7F">
              <w:rPr>
                <w:rFonts w:ascii="Arial" w:hAnsi="Arial" w:cs="Arial"/>
                <w:bCs/>
                <w:color w:val="0B416C"/>
              </w:rPr>
              <w:t>https://tanj</w:t>
            </w:r>
            <w:r>
              <w:rPr>
                <w:rFonts w:ascii="Arial" w:hAnsi="Arial" w:cs="Arial"/>
                <w:bCs/>
                <w:color w:val="0B416C"/>
              </w:rPr>
              <w:t>afoehr.com/2016/02/04/der-</w:t>
            </w:r>
            <w:r w:rsidRPr="00F95D7F">
              <w:rPr>
                <w:rFonts w:ascii="Arial" w:hAnsi="Arial" w:cs="Arial"/>
                <w:bCs/>
                <w:color w:val="0B416C"/>
              </w:rPr>
              <w:t xml:space="preserve">world-cafe-schnack-ein-neues-konzept-fuer-das-staedtische-museum-in-goettingen/ </w:t>
            </w:r>
          </w:p>
          <w:p w14:paraId="36731431" w14:textId="0091765A" w:rsidR="00F95D7F" w:rsidRPr="00F95D7F" w:rsidRDefault="00F95D7F" w:rsidP="00F95D7F">
            <w:pPr>
              <w:pStyle w:val="Listenabsatz"/>
              <w:numPr>
                <w:ilvl w:val="0"/>
                <w:numId w:val="31"/>
              </w:numPr>
              <w:spacing w:before="80" w:after="80"/>
              <w:rPr>
                <w:rFonts w:ascii="Arial" w:hAnsi="Arial" w:cs="Arial"/>
                <w:bCs/>
                <w:color w:val="0B416C"/>
                <w:lang w:val="en-US"/>
              </w:rPr>
            </w:pPr>
            <w:r w:rsidRPr="00F95D7F">
              <w:rPr>
                <w:rFonts w:ascii="Arial" w:hAnsi="Arial" w:cs="Arial"/>
                <w:bCs/>
                <w:color w:val="0B416C"/>
                <w:lang w:val="en-US"/>
              </w:rPr>
              <w:t xml:space="preserve">The World Café Community Foundation. The World Cafe: </w:t>
            </w:r>
            <w:r>
              <w:rPr>
                <w:rFonts w:ascii="Arial" w:hAnsi="Arial" w:cs="Arial"/>
                <w:bCs/>
                <w:color w:val="0B416C"/>
                <w:lang w:val="en-US"/>
              </w:rPr>
              <w:t xml:space="preserve">Shaping Our Futures </w:t>
            </w:r>
            <w:proofErr w:type="gramStart"/>
            <w:r>
              <w:rPr>
                <w:rFonts w:ascii="Arial" w:hAnsi="Arial" w:cs="Arial"/>
                <w:bCs/>
                <w:color w:val="0B416C"/>
                <w:lang w:val="en-US"/>
              </w:rPr>
              <w:t>Through</w:t>
            </w:r>
            <w:proofErr w:type="gramEnd"/>
            <w:r>
              <w:rPr>
                <w:rFonts w:ascii="Arial" w:hAnsi="Arial" w:cs="Arial"/>
                <w:bCs/>
                <w:color w:val="0B416C"/>
                <w:lang w:val="en-US"/>
              </w:rPr>
              <w:t xml:space="preserve"> Con</w:t>
            </w:r>
            <w:r w:rsidRPr="00F95D7F">
              <w:rPr>
                <w:rFonts w:ascii="Arial" w:hAnsi="Arial" w:cs="Arial"/>
                <w:bCs/>
                <w:color w:val="0B416C"/>
                <w:lang w:val="en-US"/>
              </w:rPr>
              <w:t xml:space="preserve">versations That Matter; </w:t>
            </w:r>
            <w:proofErr w:type="spellStart"/>
            <w:r w:rsidRPr="00F95D7F">
              <w:rPr>
                <w:rFonts w:ascii="Arial" w:hAnsi="Arial" w:cs="Arial"/>
                <w:bCs/>
                <w:color w:val="0B416C"/>
                <w:lang w:val="en-US"/>
              </w:rPr>
              <w:t>o.J.</w:t>
            </w:r>
            <w:proofErr w:type="spellEnd"/>
            <w:r w:rsidRPr="00F95D7F">
              <w:rPr>
                <w:rFonts w:ascii="Arial" w:hAnsi="Arial" w:cs="Arial"/>
                <w:bCs/>
                <w:color w:val="0B416C"/>
                <w:lang w:val="en-US"/>
              </w:rPr>
              <w:t xml:space="preserve"> [Stand: </w:t>
            </w:r>
            <w:r w:rsidR="00F310F7">
              <w:rPr>
                <w:rFonts w:ascii="Arial" w:hAnsi="Arial" w:cs="Arial"/>
                <w:bCs/>
                <w:color w:val="0B416C"/>
                <w:lang w:val="en-US"/>
              </w:rPr>
              <w:t>06.09.2022</w:t>
            </w:r>
            <w:r w:rsidRPr="00F95D7F">
              <w:rPr>
                <w:rFonts w:ascii="Arial" w:hAnsi="Arial" w:cs="Arial"/>
                <w:bCs/>
                <w:color w:val="0B416C"/>
                <w:lang w:val="en-US"/>
              </w:rPr>
              <w:t xml:space="preserve">]. </w:t>
            </w:r>
            <w:proofErr w:type="spellStart"/>
            <w:r w:rsidRPr="00F95D7F">
              <w:rPr>
                <w:rFonts w:ascii="Arial" w:hAnsi="Arial" w:cs="Arial"/>
                <w:bCs/>
                <w:color w:val="0B416C"/>
                <w:lang w:val="en-US"/>
              </w:rPr>
              <w:t>Verfügbar</w:t>
            </w:r>
            <w:proofErr w:type="spellEnd"/>
            <w:r w:rsidRPr="00F95D7F">
              <w:rPr>
                <w:rFonts w:ascii="Arial" w:hAnsi="Arial" w:cs="Arial"/>
                <w:bCs/>
                <w:color w:val="0B416C"/>
                <w:lang w:val="en-US"/>
              </w:rPr>
              <w:t xml:space="preserve"> </w:t>
            </w:r>
            <w:proofErr w:type="spellStart"/>
            <w:r w:rsidRPr="00F95D7F">
              <w:rPr>
                <w:rFonts w:ascii="Arial" w:hAnsi="Arial" w:cs="Arial"/>
                <w:bCs/>
                <w:color w:val="0B416C"/>
                <w:lang w:val="en-US"/>
              </w:rPr>
              <w:t>unter</w:t>
            </w:r>
            <w:proofErr w:type="spellEnd"/>
            <w:r w:rsidRPr="00F95D7F">
              <w:rPr>
                <w:rFonts w:ascii="Arial" w:hAnsi="Arial" w:cs="Arial"/>
                <w:bCs/>
                <w:color w:val="0B416C"/>
                <w:lang w:val="en-US"/>
              </w:rPr>
              <w:t>: http://www.theworldcafe.com/</w:t>
            </w:r>
          </w:p>
          <w:p w14:paraId="11A0D49C" w14:textId="7F888D9D" w:rsidR="00F95D7F" w:rsidRPr="00F95D7F" w:rsidRDefault="00F95D7F" w:rsidP="00F95D7F">
            <w:pPr>
              <w:pStyle w:val="Listenabsatz"/>
              <w:numPr>
                <w:ilvl w:val="0"/>
                <w:numId w:val="31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F310F7">
              <w:rPr>
                <w:rFonts w:ascii="Arial" w:hAnsi="Arial" w:cs="Arial"/>
                <w:bCs/>
                <w:color w:val="0B416C"/>
                <w:lang w:val="en-US"/>
              </w:rPr>
              <w:t xml:space="preserve">Wilbert A. </w:t>
            </w:r>
            <w:proofErr w:type="spellStart"/>
            <w:r w:rsidRPr="00F310F7">
              <w:rPr>
                <w:rFonts w:ascii="Arial" w:hAnsi="Arial" w:cs="Arial"/>
                <w:bCs/>
                <w:color w:val="0B416C"/>
                <w:lang w:val="en-US"/>
              </w:rPr>
              <w:t>Methode</w:t>
            </w:r>
            <w:proofErr w:type="spellEnd"/>
            <w:r w:rsidRPr="00F310F7">
              <w:rPr>
                <w:rFonts w:ascii="Arial" w:hAnsi="Arial" w:cs="Arial"/>
                <w:bCs/>
                <w:color w:val="0B416C"/>
                <w:lang w:val="en-US"/>
              </w:rPr>
              <w:t>: World Café; 2014 [</w:t>
            </w:r>
            <w:proofErr w:type="gramStart"/>
            <w:r w:rsidRPr="00F310F7">
              <w:rPr>
                <w:rFonts w:ascii="Arial" w:hAnsi="Arial" w:cs="Arial"/>
                <w:bCs/>
                <w:color w:val="0B416C"/>
                <w:lang w:val="en-US"/>
              </w:rPr>
              <w:t>Stand:</w:t>
            </w:r>
            <w:proofErr w:type="gramEnd"/>
            <w:r w:rsidRPr="00F310F7">
              <w:rPr>
                <w:rFonts w:ascii="Arial" w:hAnsi="Arial" w:cs="Arial"/>
                <w:bCs/>
                <w:color w:val="0B416C"/>
                <w:lang w:val="en-US"/>
              </w:rPr>
              <w:t xml:space="preserve"> </w:t>
            </w:r>
            <w:r w:rsidR="00F310F7">
              <w:rPr>
                <w:rFonts w:ascii="Arial" w:hAnsi="Arial" w:cs="Arial"/>
                <w:bCs/>
                <w:color w:val="0B416C"/>
                <w:lang w:val="en-US"/>
              </w:rPr>
              <w:t>06.09.2022</w:t>
            </w:r>
            <w:r w:rsidRPr="00F310F7">
              <w:rPr>
                <w:rFonts w:ascii="Arial" w:hAnsi="Arial" w:cs="Arial"/>
                <w:bCs/>
                <w:color w:val="0B416C"/>
                <w:lang w:val="en-US"/>
              </w:rPr>
              <w:t xml:space="preserve">]. </w:t>
            </w:r>
            <w:r w:rsidRPr="00F95D7F">
              <w:rPr>
                <w:rFonts w:ascii="Arial" w:hAnsi="Arial" w:cs="Arial"/>
                <w:bCs/>
                <w:color w:val="0B416C"/>
              </w:rPr>
              <w:t>Verfügbar unter: http://www.einfachgutelehre.uni-kiel.de/allgemein/world-caf/</w:t>
            </w:r>
          </w:p>
          <w:p w14:paraId="0177FC3D" w14:textId="45D810BF" w:rsidR="00AA1A63" w:rsidRPr="00F95D7F" w:rsidRDefault="00F95D7F" w:rsidP="00F310F7">
            <w:pPr>
              <w:pStyle w:val="Listenabsatz"/>
              <w:numPr>
                <w:ilvl w:val="0"/>
                <w:numId w:val="31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F95D7F">
              <w:rPr>
                <w:rFonts w:ascii="Arial" w:hAnsi="Arial" w:cs="Arial"/>
                <w:bCs/>
                <w:color w:val="0B416C"/>
              </w:rPr>
              <w:t xml:space="preserve">Wilbert A. Methodeneinsatz – World Café; 2002 [Stand: </w:t>
            </w:r>
            <w:r w:rsidR="00F310F7">
              <w:rPr>
                <w:rFonts w:ascii="Arial" w:hAnsi="Arial" w:cs="Arial"/>
                <w:bCs/>
                <w:color w:val="0B416C"/>
              </w:rPr>
              <w:t>06.09.2022</w:t>
            </w:r>
            <w:r w:rsidRPr="00F95D7F">
              <w:rPr>
                <w:rFonts w:ascii="Arial" w:hAnsi="Arial" w:cs="Arial"/>
                <w:bCs/>
                <w:color w:val="0B416C"/>
              </w:rPr>
              <w:t>]. Verfügbar unter: https://www.kas.de/we</w:t>
            </w:r>
            <w:r>
              <w:rPr>
                <w:rFonts w:ascii="Arial" w:hAnsi="Arial" w:cs="Arial"/>
                <w:bCs/>
                <w:color w:val="0B416C"/>
              </w:rPr>
              <w:t>b/politische-bildung/world-cafe</w:t>
            </w:r>
            <w:bookmarkStart w:id="0" w:name="_GoBack"/>
            <w:bookmarkEnd w:id="0"/>
          </w:p>
        </w:tc>
      </w:tr>
    </w:tbl>
    <w:p w14:paraId="2818F191" w14:textId="002F2D2B" w:rsidR="00090D8B" w:rsidRPr="00AA1A63" w:rsidRDefault="00831077" w:rsidP="00E05463">
      <w:pPr>
        <w:rPr>
          <w:rFonts w:ascii="Arial" w:hAnsi="Arial" w:cs="Arial"/>
        </w:rPr>
      </w:pPr>
    </w:p>
    <w:sectPr w:rsidR="00090D8B" w:rsidRPr="00AA1A63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8A2D3" w14:textId="77777777" w:rsidR="00831077" w:rsidRDefault="00831077" w:rsidP="007438DB">
      <w:pPr>
        <w:spacing w:after="0" w:line="240" w:lineRule="auto"/>
      </w:pPr>
      <w:r>
        <w:separator/>
      </w:r>
    </w:p>
  </w:endnote>
  <w:endnote w:type="continuationSeparator" w:id="0">
    <w:p w14:paraId="4E1F2564" w14:textId="77777777" w:rsidR="00831077" w:rsidRDefault="00831077" w:rsidP="00743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AFC90" w14:textId="69ADEC4D" w:rsidR="007438DB" w:rsidRDefault="007438DB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504F37CA" wp14:editId="0ADA2080">
          <wp:simplePos x="0" y="0"/>
          <wp:positionH relativeFrom="margin">
            <wp:posOffset>-914400</wp:posOffset>
          </wp:positionH>
          <wp:positionV relativeFrom="margin">
            <wp:posOffset>9555480</wp:posOffset>
          </wp:positionV>
          <wp:extent cx="8593455" cy="215900"/>
          <wp:effectExtent l="0" t="0" r="0" b="0"/>
          <wp:wrapSquare wrapText="bothSides"/>
          <wp:docPr id="90" name="Grafik 90" descr="C:\Users\paulsen\Desktop\Eubeko letter head bottom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10" descr="C:\Users\paulsen\Desktop\Eubeko letter head bottom line.pn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859345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2A446" w14:textId="77777777" w:rsidR="00831077" w:rsidRDefault="00831077" w:rsidP="007438DB">
      <w:pPr>
        <w:spacing w:after="0" w:line="240" w:lineRule="auto"/>
      </w:pPr>
      <w:r>
        <w:separator/>
      </w:r>
    </w:p>
  </w:footnote>
  <w:footnote w:type="continuationSeparator" w:id="0">
    <w:p w14:paraId="02512D90" w14:textId="77777777" w:rsidR="00831077" w:rsidRDefault="00831077" w:rsidP="00743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23BD1" w14:textId="307D73DD" w:rsidR="007438DB" w:rsidRDefault="007438D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7D2A426" wp14:editId="0E97259C">
          <wp:simplePos x="0" y="0"/>
          <wp:positionH relativeFrom="margin">
            <wp:posOffset>-914400</wp:posOffset>
          </wp:positionH>
          <wp:positionV relativeFrom="margin">
            <wp:posOffset>-887095</wp:posOffset>
          </wp:positionV>
          <wp:extent cx="8178165" cy="227330"/>
          <wp:effectExtent l="0" t="0" r="0" b="1270"/>
          <wp:wrapSquare wrapText="bothSides"/>
          <wp:docPr id="89" name="Grafik 24" descr="C:\Users\paulsen\Desktop\Eubeko letter head Top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" descr="C:\Users\paulsen\Desktop\Eubeko letter head Top line.pn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8178165" cy="227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4953"/>
    <w:multiLevelType w:val="hybridMultilevel"/>
    <w:tmpl w:val="7E54BB0C"/>
    <w:lvl w:ilvl="0" w:tplc="6A524E8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E7249"/>
    <w:multiLevelType w:val="hybridMultilevel"/>
    <w:tmpl w:val="1DAC8FD4"/>
    <w:lvl w:ilvl="0" w:tplc="24AC523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AE566E"/>
    <w:multiLevelType w:val="hybridMultilevel"/>
    <w:tmpl w:val="EC88C452"/>
    <w:lvl w:ilvl="0" w:tplc="59847F7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A643B"/>
    <w:multiLevelType w:val="hybridMultilevel"/>
    <w:tmpl w:val="35207074"/>
    <w:lvl w:ilvl="0" w:tplc="9EF6B5C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5E4102"/>
    <w:multiLevelType w:val="hybridMultilevel"/>
    <w:tmpl w:val="6B643426"/>
    <w:lvl w:ilvl="0" w:tplc="E18AFB9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B502C9"/>
    <w:multiLevelType w:val="hybridMultilevel"/>
    <w:tmpl w:val="9612AE42"/>
    <w:lvl w:ilvl="0" w:tplc="6A524E8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0C7860"/>
    <w:multiLevelType w:val="hybridMultilevel"/>
    <w:tmpl w:val="00AC1F2E"/>
    <w:lvl w:ilvl="0" w:tplc="6A524E8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741001"/>
    <w:multiLevelType w:val="hybridMultilevel"/>
    <w:tmpl w:val="E92018A2"/>
    <w:lvl w:ilvl="0" w:tplc="65B68D7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7E50F9"/>
    <w:multiLevelType w:val="hybridMultilevel"/>
    <w:tmpl w:val="9E28E294"/>
    <w:lvl w:ilvl="0" w:tplc="2E480406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061C09"/>
    <w:multiLevelType w:val="hybridMultilevel"/>
    <w:tmpl w:val="D652C264"/>
    <w:lvl w:ilvl="0" w:tplc="2D48694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6150FA"/>
    <w:multiLevelType w:val="hybridMultilevel"/>
    <w:tmpl w:val="EBDE20F0"/>
    <w:lvl w:ilvl="0" w:tplc="2E480406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27381C"/>
    <w:multiLevelType w:val="hybridMultilevel"/>
    <w:tmpl w:val="C1789E5C"/>
    <w:lvl w:ilvl="0" w:tplc="A9DA879E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F90F56"/>
    <w:multiLevelType w:val="hybridMultilevel"/>
    <w:tmpl w:val="0BAC18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F712F2"/>
    <w:multiLevelType w:val="hybridMultilevel"/>
    <w:tmpl w:val="F7702C7E"/>
    <w:lvl w:ilvl="0" w:tplc="493040F8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B73A44"/>
    <w:multiLevelType w:val="hybridMultilevel"/>
    <w:tmpl w:val="F6C817FA"/>
    <w:lvl w:ilvl="0" w:tplc="2E480406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A921E3"/>
    <w:multiLevelType w:val="hybridMultilevel"/>
    <w:tmpl w:val="92D6B1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A75CE6"/>
    <w:multiLevelType w:val="hybridMultilevel"/>
    <w:tmpl w:val="3D3A5734"/>
    <w:lvl w:ilvl="0" w:tplc="6A524E8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550CDB"/>
    <w:multiLevelType w:val="hybridMultilevel"/>
    <w:tmpl w:val="B5062ED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8B6363"/>
    <w:multiLevelType w:val="hybridMultilevel"/>
    <w:tmpl w:val="60366C24"/>
    <w:lvl w:ilvl="0" w:tplc="274C0688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B520E0"/>
    <w:multiLevelType w:val="hybridMultilevel"/>
    <w:tmpl w:val="B8AC45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15157B"/>
    <w:multiLevelType w:val="hybridMultilevel"/>
    <w:tmpl w:val="99EA47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CB0122"/>
    <w:multiLevelType w:val="hybridMultilevel"/>
    <w:tmpl w:val="54CC6EE6"/>
    <w:lvl w:ilvl="0" w:tplc="D51AC5E8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F201A5"/>
    <w:multiLevelType w:val="hybridMultilevel"/>
    <w:tmpl w:val="E61ED25A"/>
    <w:lvl w:ilvl="0" w:tplc="59847F7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BF0EC7"/>
    <w:multiLevelType w:val="hybridMultilevel"/>
    <w:tmpl w:val="60341526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16584F"/>
    <w:multiLevelType w:val="hybridMultilevel"/>
    <w:tmpl w:val="83BAF07A"/>
    <w:lvl w:ilvl="0" w:tplc="25C8D0CE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A354E2"/>
    <w:multiLevelType w:val="hybridMultilevel"/>
    <w:tmpl w:val="6C6AB4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A47F27"/>
    <w:multiLevelType w:val="hybridMultilevel"/>
    <w:tmpl w:val="57DAAE70"/>
    <w:lvl w:ilvl="0" w:tplc="A800879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BC6EF1"/>
    <w:multiLevelType w:val="hybridMultilevel"/>
    <w:tmpl w:val="F71EDA50"/>
    <w:lvl w:ilvl="0" w:tplc="B0CCED5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A20020"/>
    <w:multiLevelType w:val="hybridMultilevel"/>
    <w:tmpl w:val="4CC6C092"/>
    <w:lvl w:ilvl="0" w:tplc="6A524E8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075E9D"/>
    <w:multiLevelType w:val="hybridMultilevel"/>
    <w:tmpl w:val="58BC9A26"/>
    <w:lvl w:ilvl="0" w:tplc="2E480406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09106E"/>
    <w:multiLevelType w:val="hybridMultilevel"/>
    <w:tmpl w:val="83BAF07A"/>
    <w:lvl w:ilvl="0" w:tplc="25C8D0CE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A330F3"/>
    <w:multiLevelType w:val="hybridMultilevel"/>
    <w:tmpl w:val="73DC4B96"/>
    <w:lvl w:ilvl="0" w:tplc="0DF84B2A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EB3EF4"/>
    <w:multiLevelType w:val="hybridMultilevel"/>
    <w:tmpl w:val="D93690C4"/>
    <w:lvl w:ilvl="0" w:tplc="54B6425E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3"/>
  </w:num>
  <w:num w:numId="4">
    <w:abstractNumId w:val="27"/>
  </w:num>
  <w:num w:numId="5">
    <w:abstractNumId w:val="26"/>
  </w:num>
  <w:num w:numId="6">
    <w:abstractNumId w:val="21"/>
  </w:num>
  <w:num w:numId="7">
    <w:abstractNumId w:val="18"/>
  </w:num>
  <w:num w:numId="8">
    <w:abstractNumId w:val="5"/>
  </w:num>
  <w:num w:numId="9">
    <w:abstractNumId w:val="31"/>
  </w:num>
  <w:num w:numId="10">
    <w:abstractNumId w:val="4"/>
  </w:num>
  <w:num w:numId="11">
    <w:abstractNumId w:val="14"/>
  </w:num>
  <w:num w:numId="12">
    <w:abstractNumId w:val="7"/>
  </w:num>
  <w:num w:numId="13">
    <w:abstractNumId w:val="28"/>
  </w:num>
  <w:num w:numId="14">
    <w:abstractNumId w:val="24"/>
  </w:num>
  <w:num w:numId="15">
    <w:abstractNumId w:val="9"/>
  </w:num>
  <w:num w:numId="16">
    <w:abstractNumId w:val="32"/>
  </w:num>
  <w:num w:numId="17">
    <w:abstractNumId w:val="29"/>
  </w:num>
  <w:num w:numId="18">
    <w:abstractNumId w:val="11"/>
  </w:num>
  <w:num w:numId="19">
    <w:abstractNumId w:val="1"/>
  </w:num>
  <w:num w:numId="20">
    <w:abstractNumId w:val="16"/>
  </w:num>
  <w:num w:numId="21">
    <w:abstractNumId w:val="10"/>
  </w:num>
  <w:num w:numId="22">
    <w:abstractNumId w:val="13"/>
  </w:num>
  <w:num w:numId="23">
    <w:abstractNumId w:val="30"/>
  </w:num>
  <w:num w:numId="24">
    <w:abstractNumId w:val="0"/>
  </w:num>
  <w:num w:numId="25">
    <w:abstractNumId w:val="8"/>
  </w:num>
  <w:num w:numId="26">
    <w:abstractNumId w:val="2"/>
  </w:num>
  <w:num w:numId="27">
    <w:abstractNumId w:val="17"/>
  </w:num>
  <w:num w:numId="28">
    <w:abstractNumId w:val="23"/>
  </w:num>
  <w:num w:numId="29">
    <w:abstractNumId w:val="20"/>
  </w:num>
  <w:num w:numId="30">
    <w:abstractNumId w:val="12"/>
  </w:num>
  <w:num w:numId="31">
    <w:abstractNumId w:val="19"/>
  </w:num>
  <w:num w:numId="32">
    <w:abstractNumId w:val="25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xMjc3MzIwMjM3NTFW0lEKTi0uzszPAykwqgUALrJiYiwAAAA="/>
  </w:docVars>
  <w:rsids>
    <w:rsidRoot w:val="00CB195D"/>
    <w:rsid w:val="00000A45"/>
    <w:rsid w:val="00037991"/>
    <w:rsid w:val="000435F0"/>
    <w:rsid w:val="00054783"/>
    <w:rsid w:val="00067E40"/>
    <w:rsid w:val="00090748"/>
    <w:rsid w:val="000A4488"/>
    <w:rsid w:val="000D6185"/>
    <w:rsid w:val="000D6601"/>
    <w:rsid w:val="001176DE"/>
    <w:rsid w:val="0012004D"/>
    <w:rsid w:val="001473FF"/>
    <w:rsid w:val="00197AF2"/>
    <w:rsid w:val="001A43CA"/>
    <w:rsid w:val="001C6416"/>
    <w:rsid w:val="00201D57"/>
    <w:rsid w:val="002328D7"/>
    <w:rsid w:val="0024288B"/>
    <w:rsid w:val="00291E1E"/>
    <w:rsid w:val="002D5A16"/>
    <w:rsid w:val="002E7D2D"/>
    <w:rsid w:val="0031124B"/>
    <w:rsid w:val="00326C60"/>
    <w:rsid w:val="00357A5F"/>
    <w:rsid w:val="003A1806"/>
    <w:rsid w:val="003C52A4"/>
    <w:rsid w:val="003D2508"/>
    <w:rsid w:val="003D3795"/>
    <w:rsid w:val="004449AC"/>
    <w:rsid w:val="0044511C"/>
    <w:rsid w:val="00457C6A"/>
    <w:rsid w:val="004B4E29"/>
    <w:rsid w:val="005063A5"/>
    <w:rsid w:val="0052271A"/>
    <w:rsid w:val="00547C52"/>
    <w:rsid w:val="005F5EB0"/>
    <w:rsid w:val="00652430"/>
    <w:rsid w:val="006763FA"/>
    <w:rsid w:val="006A3316"/>
    <w:rsid w:val="006A5ED8"/>
    <w:rsid w:val="006C03B6"/>
    <w:rsid w:val="006D6E2E"/>
    <w:rsid w:val="006F4EB0"/>
    <w:rsid w:val="006F6950"/>
    <w:rsid w:val="007438DB"/>
    <w:rsid w:val="007832FA"/>
    <w:rsid w:val="0080271C"/>
    <w:rsid w:val="00831077"/>
    <w:rsid w:val="00843CD6"/>
    <w:rsid w:val="00847DA7"/>
    <w:rsid w:val="008561F4"/>
    <w:rsid w:val="0086064D"/>
    <w:rsid w:val="00890D72"/>
    <w:rsid w:val="00905A43"/>
    <w:rsid w:val="009C15BE"/>
    <w:rsid w:val="009E4C48"/>
    <w:rsid w:val="00A62133"/>
    <w:rsid w:val="00AA1A63"/>
    <w:rsid w:val="00AD119B"/>
    <w:rsid w:val="00B07D1A"/>
    <w:rsid w:val="00B369C7"/>
    <w:rsid w:val="00C264FA"/>
    <w:rsid w:val="00C40CE6"/>
    <w:rsid w:val="00C54E9D"/>
    <w:rsid w:val="00C65319"/>
    <w:rsid w:val="00C97188"/>
    <w:rsid w:val="00CA22B9"/>
    <w:rsid w:val="00CB195D"/>
    <w:rsid w:val="00CC4D3E"/>
    <w:rsid w:val="00CE4177"/>
    <w:rsid w:val="00D17C34"/>
    <w:rsid w:val="00D77C12"/>
    <w:rsid w:val="00DA34C1"/>
    <w:rsid w:val="00DC3F1B"/>
    <w:rsid w:val="00DF25D9"/>
    <w:rsid w:val="00E05463"/>
    <w:rsid w:val="00E14346"/>
    <w:rsid w:val="00E45FC5"/>
    <w:rsid w:val="00E808DE"/>
    <w:rsid w:val="00E8536A"/>
    <w:rsid w:val="00ED228B"/>
    <w:rsid w:val="00EF331A"/>
    <w:rsid w:val="00F310F7"/>
    <w:rsid w:val="00F77D4C"/>
    <w:rsid w:val="00F95D7F"/>
    <w:rsid w:val="00FD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045BC"/>
  <w15:chartTrackingRefBased/>
  <w15:docId w15:val="{0D754DB5-50D2-41F5-8011-4F28AF48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B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763F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A44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448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448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44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448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4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448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43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38DB"/>
  </w:style>
  <w:style w:type="paragraph" w:styleId="Fuzeile">
    <w:name w:val="footer"/>
    <w:basedOn w:val="Standard"/>
    <w:link w:val="FuzeileZchn"/>
    <w:uiPriority w:val="99"/>
    <w:unhideWhenUsed/>
    <w:rsid w:val="00743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3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Müller</dc:creator>
  <cp:keywords/>
  <dc:description/>
  <cp:lastModifiedBy>Christina Müller</cp:lastModifiedBy>
  <cp:revision>3</cp:revision>
  <dcterms:created xsi:type="dcterms:W3CDTF">2022-09-06T13:52:00Z</dcterms:created>
  <dcterms:modified xsi:type="dcterms:W3CDTF">2022-09-06T14:42:00Z</dcterms:modified>
</cp:coreProperties>
</file>